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37C376C7" w:rsidR="005A3477" w:rsidRDefault="00183601">
      <w:bookmarkStart w:id="0" w:name="_GoBack"/>
      <w:bookmarkEnd w:id="0"/>
      <w:r>
        <w:t>BIJLAGE 10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06"/>
        <w:gridCol w:w="7076"/>
      </w:tblGrid>
      <w:tr w:rsidR="005A3477" w14:paraId="54B00516" w14:textId="77777777" w:rsidTr="005A3477">
        <w:trPr>
          <w:trHeight w:val="367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14:paraId="53293C41" w14:textId="2F0D1878" w:rsidR="005A3477" w:rsidRPr="009A0481" w:rsidRDefault="005A3477">
            <w:pPr>
              <w:rPr>
                <w:lang w:val="nl-N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9A0481" w:rsidRDefault="005A3477">
            <w:pPr>
              <w:rPr>
                <w:lang w:val="nl-NL"/>
              </w:rPr>
            </w:pPr>
          </w:p>
          <w:p w14:paraId="4FA53113" w14:textId="4D63F61E" w:rsidR="005A3477" w:rsidRPr="005A3477" w:rsidRDefault="005A3477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5A3477" w:rsidRPr="009A0481" w:rsidRDefault="005A3477">
            <w:pPr>
              <w:rPr>
                <w:lang w:val="nl-NL"/>
              </w:rPr>
            </w:pPr>
          </w:p>
        </w:tc>
      </w:tr>
      <w:tr w:rsidR="005A3477" w14:paraId="26CDA1EB" w14:textId="77777777" w:rsidTr="005A3477">
        <w:trPr>
          <w:trHeight w:val="366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9A0481" w:rsidRDefault="005A3477">
            <w:pPr>
              <w:rPr>
                <w:lang w:val="nl-NL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444EA" w14:textId="216A3D13" w:rsidR="005A3477" w:rsidRDefault="009728AA" w:rsidP="005A3477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>Technisch</w:t>
            </w:r>
            <w:r w:rsidR="000702F5">
              <w:rPr>
                <w:b/>
                <w:color w:val="0000FF"/>
                <w:sz w:val="48"/>
                <w:szCs w:val="48"/>
                <w:lang w:val="nl-NL"/>
              </w:rPr>
              <w:t>- logistiek</w:t>
            </w:r>
            <w:r w:rsidR="00981462">
              <w:rPr>
                <w:b/>
                <w:color w:val="0000FF"/>
                <w:sz w:val="48"/>
                <w:szCs w:val="48"/>
                <w:lang w:val="nl-NL"/>
              </w:rPr>
              <w:t xml:space="preserve"> </w:t>
            </w:r>
            <w:r w:rsidR="00C9346C">
              <w:rPr>
                <w:b/>
                <w:color w:val="0000FF"/>
                <w:sz w:val="48"/>
                <w:szCs w:val="48"/>
                <w:lang w:val="nl-NL"/>
              </w:rPr>
              <w:t>assiste</w:t>
            </w:r>
            <w:r w:rsidR="00DC04E9">
              <w:rPr>
                <w:b/>
                <w:color w:val="0000FF"/>
                <w:sz w:val="48"/>
                <w:szCs w:val="48"/>
                <w:lang w:val="nl-NL"/>
              </w:rPr>
              <w:t>nt</w:t>
            </w:r>
          </w:p>
          <w:p w14:paraId="453BEBB0" w14:textId="03B5D7C6" w:rsidR="005A3477" w:rsidRPr="009728AA" w:rsidRDefault="005A3477" w:rsidP="009728AA">
            <w:pPr>
              <w:shd w:val="clear" w:color="auto" w:fill="D9D9D9" w:themeFill="background1" w:themeFillShade="D9"/>
              <w:jc w:val="center"/>
              <w:rPr>
                <w:color w:val="0000FF"/>
                <w:sz w:val="32"/>
                <w:szCs w:val="32"/>
                <w:lang w:val="nl-NL"/>
              </w:rPr>
            </w:pPr>
          </w:p>
        </w:tc>
      </w:tr>
      <w:tr w:rsidR="009728AA" w:rsidRPr="00013946" w14:paraId="24FDD62F" w14:textId="77777777" w:rsidTr="005A3477">
        <w:tc>
          <w:tcPr>
            <w:tcW w:w="2206" w:type="dxa"/>
          </w:tcPr>
          <w:p w14:paraId="1D741D3B" w14:textId="77777777" w:rsidR="009728AA" w:rsidRPr="009A0481" w:rsidRDefault="009728AA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51FEB60F" w14:textId="77777777" w:rsidR="009728AA" w:rsidRDefault="009728AA" w:rsidP="009728A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306BF73" w14:textId="7223808C" w:rsidR="006D4A77" w:rsidRDefault="000702F5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EB0696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aan de functie van brandweerman of korporaal. </w:t>
            </w:r>
          </w:p>
          <w:p w14:paraId="0A50C220" w14:textId="77777777" w:rsidR="006D4A77" w:rsidRDefault="006D4A77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35C37254" w14:textId="7FBB9F61" w:rsidR="000702F5" w:rsidRDefault="000702F5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functie van haar risicoanalyse.</w:t>
            </w:r>
          </w:p>
          <w:p w14:paraId="2605D15D" w14:textId="75B88657" w:rsidR="000702F5" w:rsidRDefault="000702F5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83DB640" w14:textId="77777777" w:rsidR="000702F5" w:rsidRPr="001460EC" w:rsidRDefault="000702F5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60EC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kan ook worden opgenomen in het kader van wedertewerkstelling op eigen verzoek, zoals bedoeld in artikel 119, van het </w:t>
            </w:r>
            <w:r w:rsidRPr="001460EC">
              <w:rPr>
                <w:rFonts w:cs="Arial"/>
                <w:sz w:val="20"/>
                <w:szCs w:val="20"/>
                <w:lang w:val="nl-NL"/>
              </w:rPr>
              <w:t>koninklijk besluit van 19 april 2014 tot bepaling van het statuut van het operationeel personeel van de hulpverleningszones</w:t>
            </w:r>
          </w:p>
          <w:p w14:paraId="02858A73" w14:textId="5733E937" w:rsidR="000702F5" w:rsidRPr="00375C1D" w:rsidRDefault="000702F5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581CFF0B" w14:textId="7646FC57" w:rsidR="000702F5" w:rsidRPr="00375C1D" w:rsidRDefault="000702F5" w:rsidP="000702F5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375C1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kan ook worden opgenomen in het kader van het </w:t>
            </w:r>
            <w:r w:rsidR="00E63A09">
              <w:rPr>
                <w:rFonts w:cs="Arial"/>
                <w:color w:val="000000"/>
                <w:sz w:val="20"/>
                <w:szCs w:val="20"/>
                <w:lang w:val="nl-NL"/>
              </w:rPr>
              <w:t>m</w:t>
            </w:r>
            <w:r w:rsidR="00E63A09" w:rsidRPr="00E63A09">
              <w:rPr>
                <w:rFonts w:cs="Arial"/>
                <w:color w:val="000000"/>
                <w:sz w:val="20"/>
                <w:szCs w:val="20"/>
                <w:lang w:val="nl-NL"/>
              </w:rPr>
              <w:t>inisterieel besluit van 11 juni 2015 tot vaststelling van de lijst met lichtere, aangepaste betrekkingen bedoeld in artikel 126, derde lid, van het koninklijk besluit van 19 april 2014</w:t>
            </w:r>
            <w:r w:rsidRPr="00375C1D">
              <w:rPr>
                <w:rFonts w:cs="Arial"/>
                <w:sz w:val="20"/>
                <w:szCs w:val="20"/>
                <w:lang w:val="nl-NL"/>
              </w:rPr>
              <w:t xml:space="preserve"> tot bepaling van het statuut van het operationeel personeel van de hulpverleningszones </w:t>
            </w:r>
          </w:p>
          <w:p w14:paraId="0A922E10" w14:textId="77777777" w:rsidR="009728AA" w:rsidRPr="009A0481" w:rsidRDefault="009728AA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013946" w14:paraId="50710453" w14:textId="77777777" w:rsidTr="005A3477">
        <w:tc>
          <w:tcPr>
            <w:tcW w:w="2206" w:type="dxa"/>
          </w:tcPr>
          <w:p w14:paraId="03E889FC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Doel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40ABE543" w14:textId="77777777" w:rsidR="00183601" w:rsidRDefault="00183601" w:rsidP="009728A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09329CD8" w14:textId="720CA97A" w:rsidR="009728AA" w:rsidRPr="009728AA" w:rsidRDefault="009728AA" w:rsidP="009728A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I</w:t>
            </w:r>
            <w:r w:rsidRPr="009728AA">
              <w:rPr>
                <w:rFonts w:cs="Arial"/>
                <w:color w:val="000000"/>
                <w:sz w:val="20"/>
                <w:szCs w:val="20"/>
                <w:lang w:val="nl-NL"/>
              </w:rPr>
              <w:t>nstaan voor bepaalde technische</w:t>
            </w:r>
            <w:r w:rsidR="000702F5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en logistieke</w:t>
            </w:r>
            <w:r w:rsidRPr="009728AA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taken gelinkt aan de operationele activiteiten teneinde de permanente inzetbaarheid van het materieel te garanderen en het onderhoud van de kazernes te verzekeren</w:t>
            </w:r>
            <w:r w:rsidR="00EF343C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2CF86615" w14:textId="77777777" w:rsidR="009A0481" w:rsidRPr="009A0481" w:rsidRDefault="009A0481" w:rsidP="00981462">
            <w:pPr>
              <w:pStyle w:val="Lijstalinea"/>
              <w:ind w:left="346"/>
              <w:rPr>
                <w:sz w:val="20"/>
                <w:szCs w:val="20"/>
              </w:rPr>
            </w:pPr>
          </w:p>
        </w:tc>
      </w:tr>
      <w:tr w:rsidR="009A0481" w:rsidRPr="00013946" w14:paraId="02F6D96F" w14:textId="77777777" w:rsidTr="00A66F68">
        <w:tc>
          <w:tcPr>
            <w:tcW w:w="2206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</w:tcPr>
          <w:p w14:paraId="1D871B07" w14:textId="77777777" w:rsidR="00183601" w:rsidRDefault="00183601" w:rsidP="009A0481">
            <w:pPr>
              <w:rPr>
                <w:sz w:val="20"/>
                <w:szCs w:val="20"/>
                <w:lang w:val="nl-NL"/>
              </w:rPr>
            </w:pPr>
          </w:p>
          <w:p w14:paraId="5943461F" w14:textId="53345B90" w:rsidR="009A0481" w:rsidRPr="00D4409B" w:rsidRDefault="009A0481" w:rsidP="009A0481">
            <w:pPr>
              <w:rPr>
                <w:sz w:val="20"/>
                <w:szCs w:val="20"/>
                <w:lang w:val="nl-NL"/>
              </w:rPr>
            </w:pPr>
            <w:r w:rsidRPr="00D4409B">
              <w:rPr>
                <w:sz w:val="20"/>
                <w:szCs w:val="20"/>
                <w:lang w:val="nl-NL"/>
              </w:rPr>
              <w:t xml:space="preserve">Een </w:t>
            </w:r>
            <w:r w:rsidR="009728AA">
              <w:rPr>
                <w:sz w:val="20"/>
                <w:szCs w:val="20"/>
                <w:lang w:val="nl-NL"/>
              </w:rPr>
              <w:t>technisch</w:t>
            </w:r>
            <w:r w:rsidR="000702F5">
              <w:rPr>
                <w:sz w:val="20"/>
                <w:szCs w:val="20"/>
                <w:lang w:val="nl-NL"/>
              </w:rPr>
              <w:t>-logistiek</w:t>
            </w:r>
            <w:r w:rsidR="00981462">
              <w:rPr>
                <w:sz w:val="20"/>
                <w:szCs w:val="20"/>
                <w:lang w:val="nl-NL"/>
              </w:rPr>
              <w:t xml:space="preserve"> </w:t>
            </w:r>
            <w:r w:rsidR="00DC04E9">
              <w:rPr>
                <w:sz w:val="20"/>
                <w:szCs w:val="20"/>
                <w:lang w:val="nl-NL"/>
              </w:rPr>
              <w:t>assistent</w:t>
            </w:r>
            <w:r w:rsidR="00DC04E9" w:rsidRPr="00D4409B">
              <w:rPr>
                <w:sz w:val="20"/>
                <w:szCs w:val="20"/>
                <w:lang w:val="nl-NL"/>
              </w:rPr>
              <w:t xml:space="preserve"> </w:t>
            </w:r>
            <w:r w:rsidRPr="00D4409B">
              <w:rPr>
                <w:sz w:val="20"/>
                <w:szCs w:val="20"/>
                <w:lang w:val="nl-NL"/>
              </w:rPr>
              <w:t xml:space="preserve">werkt samen met </w:t>
            </w:r>
            <w:r w:rsidR="00981462">
              <w:rPr>
                <w:sz w:val="20"/>
                <w:szCs w:val="20"/>
                <w:lang w:val="nl-NL"/>
              </w:rPr>
              <w:t xml:space="preserve">een team van </w:t>
            </w:r>
            <w:r w:rsidR="009728AA">
              <w:rPr>
                <w:sz w:val="20"/>
                <w:szCs w:val="20"/>
                <w:lang w:val="nl-NL"/>
              </w:rPr>
              <w:t xml:space="preserve">technische </w:t>
            </w:r>
            <w:r w:rsidR="000702F5">
              <w:rPr>
                <w:sz w:val="20"/>
                <w:szCs w:val="20"/>
                <w:lang w:val="nl-NL"/>
              </w:rPr>
              <w:t xml:space="preserve">en logistieke </w:t>
            </w:r>
            <w:r w:rsidR="00981462">
              <w:rPr>
                <w:sz w:val="20"/>
                <w:szCs w:val="20"/>
                <w:lang w:val="nl-NL"/>
              </w:rPr>
              <w:t>krachten en heeft hierin een uitvoerende taak.</w:t>
            </w:r>
            <w:r w:rsidRPr="00D4409B">
              <w:rPr>
                <w:sz w:val="20"/>
                <w:szCs w:val="20"/>
                <w:lang w:val="nl-NL"/>
              </w:rPr>
              <w:t xml:space="preserve"> </w:t>
            </w:r>
          </w:p>
          <w:p w14:paraId="04E5E7B6" w14:textId="77777777" w:rsidR="009A0481" w:rsidRPr="009A0481" w:rsidRDefault="009A0481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013946" w14:paraId="4409692D" w14:textId="77777777" w:rsidTr="00A66F68">
        <w:tc>
          <w:tcPr>
            <w:tcW w:w="2206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7076" w:type="dxa"/>
          </w:tcPr>
          <w:p w14:paraId="63248D4B" w14:textId="77777777" w:rsidR="00183601" w:rsidRDefault="00183601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22F6A9C1" w14:textId="3739024F" w:rsidR="00A66F68" w:rsidRPr="005A3477" w:rsidRDefault="000702F5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K</w:t>
            </w:r>
            <w:r w:rsidR="00A66F68"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ernresultaatsgebieden</w:t>
            </w:r>
          </w:p>
          <w:p w14:paraId="409D5793" w14:textId="77777777" w:rsidR="00A66F68" w:rsidRPr="00A66F68" w:rsidRDefault="00A66F68" w:rsidP="00A66F68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6F3583BB" w14:textId="211A502A" w:rsidR="00A66F68" w:rsidRPr="00A66F68" w:rsidRDefault="005A3477" w:rsidP="00A66F68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U</w:t>
            </w:r>
            <w:r w:rsidR="00A66F68"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itvoeren van </w:t>
            </w:r>
            <w:r w:rsidR="009728AA">
              <w:rPr>
                <w:rFonts w:cs="Arial"/>
                <w:color w:val="000000"/>
                <w:sz w:val="20"/>
                <w:szCs w:val="20"/>
                <w:lang w:val="nl-NL"/>
              </w:rPr>
              <w:t>technische</w:t>
            </w:r>
            <w:r w:rsidR="000702F5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en logistieke</w:t>
            </w:r>
            <w:r w:rsidR="00A66F68"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taken gelinkt aan de operationele activiteiten teneinde de goede werking van de zone te ondersteunen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730B9B43" w14:textId="77777777" w:rsidR="00A66F68" w:rsidRPr="00A66F68" w:rsidRDefault="00A66F68" w:rsidP="00A66F68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1F503CC6" w14:textId="77777777" w:rsidR="00A66F68" w:rsidRPr="00A66F68" w:rsidRDefault="00A66F68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A66F68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64382CE7" w14:textId="35A43D64" w:rsidR="00A66F68" w:rsidRPr="00A66F68" w:rsidRDefault="00A66F68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="009728AA">
              <w:rPr>
                <w:rFonts w:cs="Arial"/>
                <w:color w:val="000000"/>
                <w:sz w:val="20"/>
                <w:szCs w:val="20"/>
                <w:lang w:val="nl-NL"/>
              </w:rPr>
              <w:t>nazien van hydranten.</w:t>
            </w:r>
          </w:p>
          <w:p w14:paraId="5A1F83DE" w14:textId="4C3C9865" w:rsidR="00A66F68" w:rsidRPr="00A66F68" w:rsidRDefault="009728AA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De reiniging en het onderhoud van rollend materieel</w:t>
            </w:r>
            <w:r w:rsidR="00EF343C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070E88D2" w14:textId="5FCA6182" w:rsidR="009A0481" w:rsidRDefault="009728AA" w:rsidP="009A048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De reiniging van het klein interventiematerieel,</w:t>
            </w:r>
            <w:r w:rsidR="00183601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alsook het nazicht en het gebruiksklaar houden </w:t>
            </w:r>
            <w:r w:rsidR="00183601">
              <w:rPr>
                <w:rFonts w:cs="Arial"/>
                <w:color w:val="000000"/>
                <w:sz w:val="20"/>
                <w:szCs w:val="20"/>
                <w:lang w:val="nl-NL"/>
              </w:rPr>
              <w:t>er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van</w:t>
            </w:r>
            <w:r w:rsidR="005A3477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09822F55" w14:textId="720BAA0B" w:rsidR="000702F5" w:rsidRPr="005A3477" w:rsidRDefault="000702F5" w:rsidP="009A048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Het beheer van magazijnen</w:t>
            </w:r>
            <w:r w:rsidR="00183601">
              <w:rPr>
                <w:rFonts w:cs="Arial"/>
                <w:color w:val="000000"/>
                <w:sz w:val="20"/>
                <w:szCs w:val="20"/>
                <w:lang w:val="nl-NL"/>
              </w:rPr>
              <w:t>, stocks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en verbruiksartikelen.</w:t>
            </w:r>
          </w:p>
          <w:p w14:paraId="53A38A9C" w14:textId="77777777" w:rsidR="009A0481" w:rsidRDefault="009A0481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D93787" w14:paraId="4445A9E7" w14:textId="77777777" w:rsidTr="00A66F68">
        <w:tc>
          <w:tcPr>
            <w:tcW w:w="2206" w:type="dxa"/>
          </w:tcPr>
          <w:p w14:paraId="0BB3CE41" w14:textId="03C1F576" w:rsidR="00D93787" w:rsidRPr="009A0481" w:rsidRDefault="00E4623B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Plaats in de organisatie</w:t>
            </w:r>
          </w:p>
        </w:tc>
        <w:tc>
          <w:tcPr>
            <w:tcW w:w="7076" w:type="dxa"/>
          </w:tcPr>
          <w:p w14:paraId="0C4D6777" w14:textId="77777777" w:rsidR="00183601" w:rsidRDefault="00183601" w:rsidP="00457F71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3C94E7FF" w14:textId="77777777" w:rsidR="00457F71" w:rsidRPr="005A3477" w:rsidRDefault="00457F71" w:rsidP="00457F71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De functie krijgt leiding van:</w:t>
            </w:r>
          </w:p>
          <w:p w14:paraId="3794E5BF" w14:textId="5DBCD8EC" w:rsidR="00457F71" w:rsidRPr="009A0481" w:rsidRDefault="00457F71" w:rsidP="00457F71">
            <w:pPr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In technische</w:t>
            </w:r>
            <w:r w:rsidR="000702F5">
              <w:rPr>
                <w:rFonts w:cs="Arial"/>
                <w:sz w:val="20"/>
                <w:szCs w:val="20"/>
                <w:lang w:val="nl-NL"/>
              </w:rPr>
              <w:t xml:space="preserve"> en logistieke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 xml:space="preserve"> situaties </w:t>
            </w:r>
            <w:r>
              <w:rPr>
                <w:rFonts w:cs="Arial"/>
                <w:sz w:val="20"/>
                <w:szCs w:val="20"/>
                <w:lang w:val="nl-NL"/>
              </w:rPr>
              <w:t>krijgt hij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 xml:space="preserve"> functionele leidi</w:t>
            </w:r>
            <w:r>
              <w:rPr>
                <w:rFonts w:cs="Arial"/>
                <w:sz w:val="20"/>
                <w:szCs w:val="20"/>
                <w:lang w:val="nl-NL"/>
              </w:rPr>
              <w:t>ng van het midden-, hoger- of administratief kader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663EAE7F" w14:textId="77777777" w:rsidR="00457F71" w:rsidRPr="009A0481" w:rsidRDefault="00457F71" w:rsidP="00457F71">
            <w:pPr>
              <w:jc w:val="both"/>
              <w:rPr>
                <w:rFonts w:cs="Arial"/>
                <w:sz w:val="20"/>
                <w:szCs w:val="20"/>
                <w:lang w:val="nl-NL"/>
              </w:rPr>
            </w:pPr>
          </w:p>
          <w:p w14:paraId="0DB91D60" w14:textId="77777777" w:rsidR="00457F71" w:rsidRPr="005A3477" w:rsidRDefault="00457F71" w:rsidP="00457F71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De functie geeft geen leiding:</w:t>
            </w:r>
          </w:p>
          <w:p w14:paraId="11A89A2F" w14:textId="77777777" w:rsidR="00457F71" w:rsidRPr="009A0481" w:rsidRDefault="00457F71" w:rsidP="00457F71">
            <w:pPr>
              <w:jc w:val="both"/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9A0481">
              <w:rPr>
                <w:rFonts w:cs="Arial"/>
                <w:sz w:val="20"/>
                <w:szCs w:val="20"/>
                <w:lang w:val="nl-NL"/>
              </w:rPr>
              <w:t>/</w:t>
            </w:r>
          </w:p>
          <w:p w14:paraId="1AF8579C" w14:textId="77777777" w:rsidR="000702F5" w:rsidRPr="009A0481" w:rsidRDefault="000702F5" w:rsidP="00D93787">
            <w:pPr>
              <w:rPr>
                <w:sz w:val="20"/>
                <w:szCs w:val="20"/>
                <w:lang w:val="nl-NL"/>
              </w:rPr>
            </w:pPr>
          </w:p>
        </w:tc>
      </w:tr>
      <w:tr w:rsidR="00E4623B" w:rsidRPr="00013946" w14:paraId="2AAB4655" w14:textId="77777777" w:rsidTr="00A66F68">
        <w:tc>
          <w:tcPr>
            <w:tcW w:w="2206" w:type="dxa"/>
          </w:tcPr>
          <w:p w14:paraId="739FF411" w14:textId="5331194D" w:rsidR="00E4623B" w:rsidRPr="009A0481" w:rsidRDefault="00E4623B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</w:tcPr>
          <w:p w14:paraId="28F543D0" w14:textId="77777777" w:rsidR="00183601" w:rsidRDefault="00183601" w:rsidP="00EF343C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79DE0A46" w14:textId="7EC6BAB2" w:rsidR="00EF343C" w:rsidRPr="004467DF" w:rsidRDefault="00183601" w:rsidP="00EF343C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D</w:t>
            </w:r>
            <w:r w:rsidR="00EF343C" w:rsidRPr="004467DF">
              <w:rPr>
                <w:rFonts w:cs="Arial"/>
                <w:sz w:val="20"/>
                <w:szCs w:val="20"/>
                <w:lang w:val="nl-NL"/>
              </w:rPr>
              <w:t>e functiebeschrijving voor de onderdelen:</w:t>
            </w:r>
          </w:p>
          <w:p w14:paraId="03354D1E" w14:textId="77777777" w:rsidR="00EF343C" w:rsidRPr="004467DF" w:rsidRDefault="00EF343C" w:rsidP="00EF343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2EDC30B2" w14:textId="77777777" w:rsidR="00EF343C" w:rsidRPr="004467DF" w:rsidRDefault="00EF343C" w:rsidP="00EF343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lastRenderedPageBreak/>
              <w:t>Autonomie</w:t>
            </w:r>
          </w:p>
          <w:p w14:paraId="5044EA5E" w14:textId="77777777" w:rsidR="00EF343C" w:rsidRPr="004467DF" w:rsidRDefault="00EF343C" w:rsidP="00EF343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Arbeidsvoorwaarden en -omstandigheden</w:t>
            </w:r>
          </w:p>
          <w:p w14:paraId="7EDFF07C" w14:textId="77777777" w:rsidR="00EF343C" w:rsidRDefault="00EF343C" w:rsidP="00EF343C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58ABF567" w14:textId="643753DC" w:rsidR="000702F5" w:rsidRPr="001460EC" w:rsidRDefault="00183601" w:rsidP="000702F5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is </w:t>
            </w:r>
            <w:r w:rsidR="00EF343C">
              <w:rPr>
                <w:sz w:val="20"/>
                <w:szCs w:val="20"/>
                <w:lang w:val="nl-NL"/>
              </w:rPr>
              <w:t>terug</w:t>
            </w:r>
            <w:r>
              <w:rPr>
                <w:sz w:val="20"/>
                <w:szCs w:val="20"/>
                <w:lang w:val="nl-NL"/>
              </w:rPr>
              <w:t xml:space="preserve"> te </w:t>
            </w:r>
            <w:r w:rsidR="00EF343C">
              <w:rPr>
                <w:sz w:val="20"/>
                <w:szCs w:val="20"/>
                <w:lang w:val="nl-NL"/>
              </w:rPr>
              <w:t xml:space="preserve">vinden bij de aangekoppelde functie. </w:t>
            </w:r>
            <w:r w:rsidR="00E4623B">
              <w:rPr>
                <w:sz w:val="20"/>
                <w:szCs w:val="20"/>
                <w:lang w:val="nl-NL"/>
              </w:rPr>
              <w:t>( brandweerman, korporaal)</w:t>
            </w:r>
            <w:r w:rsidR="000702F5">
              <w:rPr>
                <w:sz w:val="20"/>
                <w:szCs w:val="20"/>
                <w:lang w:val="nl-NL"/>
              </w:rPr>
              <w:t xml:space="preserve"> </w:t>
            </w:r>
            <w:r w:rsidR="000702F5" w:rsidRPr="001460EC">
              <w:rPr>
                <w:sz w:val="20"/>
                <w:szCs w:val="20"/>
                <w:lang w:val="nl-NL"/>
              </w:rPr>
              <w:t xml:space="preserve">of volgens de bepalingen in het </w:t>
            </w:r>
            <w:r w:rsidR="000702F5" w:rsidRPr="001460EC">
              <w:rPr>
                <w:rFonts w:cs="Arial"/>
                <w:sz w:val="20"/>
                <w:szCs w:val="20"/>
                <w:lang w:val="nl-NL"/>
              </w:rPr>
              <w:t>koninklijk besluit van 19 april 2014 tot bepaling van het statuut van het operationeel personeel van de hulpverleningszones</w:t>
            </w:r>
            <w:r w:rsidR="000702F5"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5A633313" w14:textId="77777777" w:rsidR="00E4623B" w:rsidRPr="009A0481" w:rsidRDefault="00E4623B" w:rsidP="00D93787">
            <w:pPr>
              <w:jc w:val="both"/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5FAF8044" w14:textId="77777777" w:rsidR="00C1200D" w:rsidRPr="00183601" w:rsidRDefault="00C1200D">
      <w:pPr>
        <w:rPr>
          <w:lang w:val="nl-NL"/>
        </w:rPr>
      </w:pPr>
    </w:p>
    <w:p w14:paraId="6AD8A2D1" w14:textId="77777777" w:rsidR="00CC5128" w:rsidRPr="00183601" w:rsidRDefault="00CC5128">
      <w:pPr>
        <w:rPr>
          <w:lang w:val="nl-NL"/>
        </w:rPr>
      </w:pPr>
    </w:p>
    <w:p w14:paraId="7ECA16F5" w14:textId="77777777" w:rsidR="00183601" w:rsidRPr="00707BFF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29DFA6BF" w14:textId="77777777" w:rsidR="00183601" w:rsidRPr="00707BFF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40CBD0A" w14:textId="77777777" w:rsidR="00183601" w:rsidRPr="00707BFF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77BCDF54" w14:textId="77777777" w:rsidR="00183601" w:rsidRPr="00707BFF" w:rsidRDefault="00183601" w:rsidP="00183601">
      <w:pPr>
        <w:rPr>
          <w:rFonts w:ascii="Univers" w:eastAsia="Times New Roman" w:hAnsi="Univers"/>
          <w:color w:val="000000"/>
          <w:lang w:val="nl-BE" w:eastAsia="fr-BE"/>
        </w:rPr>
      </w:pPr>
    </w:p>
    <w:p w14:paraId="23D08A49" w14:textId="77777777" w:rsidR="00183601" w:rsidRPr="00707BFF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255D43C" w14:textId="77777777" w:rsidR="00183601" w:rsidRPr="00707BFF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1BBC0BE" w14:textId="77777777" w:rsidR="00183601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ADDDC51" w14:textId="77777777" w:rsidR="00183601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4C59D81C" w14:textId="77777777" w:rsidR="00183601" w:rsidRPr="00707BFF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2DC47BFF" w14:textId="77777777" w:rsidR="00183601" w:rsidRPr="008126C5" w:rsidRDefault="00183601" w:rsidP="00183601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13EB1E45" w14:textId="77777777" w:rsidR="00CC5128" w:rsidRPr="00183601" w:rsidRDefault="00CC5128">
      <w:pPr>
        <w:rPr>
          <w:lang w:val="nl-NL"/>
        </w:rPr>
      </w:pPr>
    </w:p>
    <w:p w14:paraId="451A2ABE" w14:textId="77777777" w:rsidR="00EC4FE1" w:rsidRPr="00183601" w:rsidRDefault="00EC4FE1">
      <w:pPr>
        <w:rPr>
          <w:lang w:val="nl-NL"/>
        </w:rPr>
      </w:pPr>
    </w:p>
    <w:sectPr w:rsidR="00EC4FE1" w:rsidRPr="00183601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70D23" w14:textId="77777777" w:rsidR="00A4198B" w:rsidRDefault="00A4198B" w:rsidP="008F4853">
      <w:r>
        <w:separator/>
      </w:r>
    </w:p>
  </w:endnote>
  <w:endnote w:type="continuationSeparator" w:id="0">
    <w:p w14:paraId="3EA34CD6" w14:textId="77777777" w:rsidR="00A4198B" w:rsidRDefault="00A4198B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5871" w14:textId="77777777" w:rsidR="00A4198B" w:rsidRDefault="00A4198B" w:rsidP="008F4853">
      <w:r>
        <w:separator/>
      </w:r>
    </w:p>
  </w:footnote>
  <w:footnote w:type="continuationSeparator" w:id="0">
    <w:p w14:paraId="34534866" w14:textId="77777777" w:rsidR="00A4198B" w:rsidRDefault="00A4198B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3946"/>
    <w:rsid w:val="00026778"/>
    <w:rsid w:val="000702F5"/>
    <w:rsid w:val="00183601"/>
    <w:rsid w:val="001A14B5"/>
    <w:rsid w:val="001F4078"/>
    <w:rsid w:val="00244654"/>
    <w:rsid w:val="003204FF"/>
    <w:rsid w:val="0035708C"/>
    <w:rsid w:val="00377A38"/>
    <w:rsid w:val="004509E5"/>
    <w:rsid w:val="00457F71"/>
    <w:rsid w:val="005A3477"/>
    <w:rsid w:val="005C14CA"/>
    <w:rsid w:val="005C5D64"/>
    <w:rsid w:val="00631B46"/>
    <w:rsid w:val="006A163E"/>
    <w:rsid w:val="006D4A77"/>
    <w:rsid w:val="007E416B"/>
    <w:rsid w:val="008655BE"/>
    <w:rsid w:val="008F4853"/>
    <w:rsid w:val="00917175"/>
    <w:rsid w:val="00927DFA"/>
    <w:rsid w:val="009305FD"/>
    <w:rsid w:val="009728AA"/>
    <w:rsid w:val="00981462"/>
    <w:rsid w:val="009A0481"/>
    <w:rsid w:val="009F485C"/>
    <w:rsid w:val="00A4198B"/>
    <w:rsid w:val="00A66F68"/>
    <w:rsid w:val="00AB22EA"/>
    <w:rsid w:val="00B85459"/>
    <w:rsid w:val="00B90B1F"/>
    <w:rsid w:val="00C1200D"/>
    <w:rsid w:val="00C23088"/>
    <w:rsid w:val="00C9346C"/>
    <w:rsid w:val="00CC5128"/>
    <w:rsid w:val="00D27580"/>
    <w:rsid w:val="00D93787"/>
    <w:rsid w:val="00DC04E9"/>
    <w:rsid w:val="00DC3A4F"/>
    <w:rsid w:val="00E4623B"/>
    <w:rsid w:val="00E63A09"/>
    <w:rsid w:val="00E9399D"/>
    <w:rsid w:val="00EB0696"/>
    <w:rsid w:val="00EC4FE1"/>
    <w:rsid w:val="00EF343C"/>
    <w:rsid w:val="00F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E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E5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E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E5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2015-06-19T13:07:00Z</cp:lastPrinted>
  <dcterms:created xsi:type="dcterms:W3CDTF">2016-04-19T09:51:00Z</dcterms:created>
  <dcterms:modified xsi:type="dcterms:W3CDTF">2016-04-19T09:51:00Z</dcterms:modified>
</cp:coreProperties>
</file>