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97DEF" w14:textId="610DCE9B" w:rsidR="005A3477" w:rsidRDefault="00FD7EC3">
      <w:bookmarkStart w:id="0" w:name="_GoBack"/>
      <w:bookmarkEnd w:id="0"/>
      <w:r>
        <w:t>BIJLAGE 15</w:t>
      </w:r>
    </w:p>
    <w:tbl>
      <w:tblPr>
        <w:tblStyle w:val="Tabelrast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206"/>
        <w:gridCol w:w="7076"/>
      </w:tblGrid>
      <w:tr w:rsidR="005A3477" w14:paraId="54B00516" w14:textId="77777777" w:rsidTr="005A3477">
        <w:trPr>
          <w:trHeight w:val="367"/>
        </w:trPr>
        <w:tc>
          <w:tcPr>
            <w:tcW w:w="2206" w:type="dxa"/>
            <w:vMerge w:val="restart"/>
            <w:tcBorders>
              <w:right w:val="single" w:sz="4" w:space="0" w:color="auto"/>
            </w:tcBorders>
          </w:tcPr>
          <w:p w14:paraId="53293C41" w14:textId="6FEBD473" w:rsidR="005A3477" w:rsidRPr="009A0481" w:rsidRDefault="005A3477">
            <w:pPr>
              <w:rPr>
                <w:lang w:val="nl-NL"/>
              </w:rPr>
            </w:pPr>
          </w:p>
        </w:tc>
        <w:tc>
          <w:tcPr>
            <w:tcW w:w="7076" w:type="dxa"/>
            <w:tcBorders>
              <w:top w:val="single" w:sz="4" w:space="0" w:color="auto"/>
              <w:left w:val="single" w:sz="4" w:space="0" w:color="auto"/>
              <w:bottom w:val="nil"/>
              <w:right w:val="single" w:sz="4" w:space="0" w:color="auto"/>
            </w:tcBorders>
            <w:shd w:val="clear" w:color="auto" w:fill="D9D9D9" w:themeFill="background1" w:themeFillShade="D9"/>
          </w:tcPr>
          <w:p w14:paraId="6FF9725C" w14:textId="77777777" w:rsidR="005A3477" w:rsidRPr="009A0481" w:rsidRDefault="005A3477">
            <w:pPr>
              <w:rPr>
                <w:lang w:val="nl-NL"/>
              </w:rPr>
            </w:pPr>
          </w:p>
          <w:p w14:paraId="4FA53113" w14:textId="4D63F61E" w:rsidR="005A3477" w:rsidRPr="005A3477" w:rsidRDefault="005A3477" w:rsidP="009A0481">
            <w:pPr>
              <w:shd w:val="clear" w:color="auto" w:fill="D9D9D9" w:themeFill="background1" w:themeFillShade="D9"/>
              <w:jc w:val="center"/>
              <w:rPr>
                <w:color w:val="0000FF"/>
                <w:sz w:val="48"/>
                <w:szCs w:val="48"/>
                <w:u w:val="single"/>
                <w:lang w:val="nl-NL"/>
              </w:rPr>
            </w:pPr>
            <w:r w:rsidRPr="005A3477">
              <w:rPr>
                <w:color w:val="0000FF"/>
                <w:sz w:val="48"/>
                <w:szCs w:val="48"/>
                <w:u w:val="single"/>
                <w:lang w:val="nl-NL"/>
              </w:rPr>
              <w:t>Functiebeschrijving</w:t>
            </w:r>
          </w:p>
          <w:p w14:paraId="0F589746" w14:textId="77777777" w:rsidR="005A3477" w:rsidRPr="009A0481" w:rsidRDefault="005A3477">
            <w:pPr>
              <w:rPr>
                <w:lang w:val="nl-NL"/>
              </w:rPr>
            </w:pPr>
          </w:p>
        </w:tc>
      </w:tr>
      <w:tr w:rsidR="005A3477" w14:paraId="26CDA1EB" w14:textId="77777777" w:rsidTr="005A3477">
        <w:trPr>
          <w:trHeight w:val="366"/>
        </w:trPr>
        <w:tc>
          <w:tcPr>
            <w:tcW w:w="2206" w:type="dxa"/>
            <w:vMerge/>
            <w:tcBorders>
              <w:right w:val="single" w:sz="4" w:space="0" w:color="auto"/>
            </w:tcBorders>
          </w:tcPr>
          <w:p w14:paraId="4705D151" w14:textId="77777777" w:rsidR="005A3477" w:rsidRPr="009A0481" w:rsidRDefault="005A3477">
            <w:pPr>
              <w:rPr>
                <w:lang w:val="nl-NL"/>
              </w:rPr>
            </w:pPr>
          </w:p>
        </w:tc>
        <w:tc>
          <w:tcPr>
            <w:tcW w:w="7076" w:type="dxa"/>
            <w:tcBorders>
              <w:top w:val="nil"/>
              <w:left w:val="single" w:sz="4" w:space="0" w:color="auto"/>
              <w:bottom w:val="single" w:sz="4" w:space="0" w:color="auto"/>
              <w:right w:val="single" w:sz="4" w:space="0" w:color="auto"/>
            </w:tcBorders>
            <w:shd w:val="clear" w:color="auto" w:fill="D9D9D9" w:themeFill="background1" w:themeFillShade="D9"/>
          </w:tcPr>
          <w:p w14:paraId="453BEBB0" w14:textId="4B5A9785" w:rsidR="005A3477" w:rsidRPr="00123D5E" w:rsidRDefault="00973B7D" w:rsidP="001D40D4">
            <w:pPr>
              <w:shd w:val="clear" w:color="auto" w:fill="D9D9D9" w:themeFill="background1" w:themeFillShade="D9"/>
              <w:jc w:val="center"/>
              <w:rPr>
                <w:b/>
                <w:color w:val="0000FF"/>
                <w:sz w:val="32"/>
                <w:szCs w:val="32"/>
                <w:lang w:val="nl-NL"/>
              </w:rPr>
            </w:pPr>
            <w:r>
              <w:rPr>
                <w:b/>
                <w:color w:val="0000FF"/>
                <w:sz w:val="36"/>
                <w:szCs w:val="36"/>
                <w:lang w:val="nl-NL"/>
              </w:rPr>
              <w:t xml:space="preserve">Operationeel </w:t>
            </w:r>
            <w:r w:rsidR="001D40D4">
              <w:rPr>
                <w:b/>
                <w:color w:val="0000FF"/>
                <w:sz w:val="36"/>
                <w:szCs w:val="36"/>
                <w:lang w:val="nl-NL"/>
              </w:rPr>
              <w:t>specialist</w:t>
            </w:r>
          </w:p>
        </w:tc>
      </w:tr>
      <w:tr w:rsidR="006400C9" w:rsidRPr="00052576" w14:paraId="2244DF67" w14:textId="77777777" w:rsidTr="005A3477">
        <w:tc>
          <w:tcPr>
            <w:tcW w:w="2206" w:type="dxa"/>
          </w:tcPr>
          <w:p w14:paraId="110C8BB0" w14:textId="77777777" w:rsidR="006400C9" w:rsidRPr="009A0481" w:rsidRDefault="006400C9" w:rsidP="009A0481">
            <w:pPr>
              <w:rPr>
                <w:b/>
                <w:color w:val="0000FF"/>
                <w:sz w:val="20"/>
                <w:szCs w:val="20"/>
                <w:lang w:val="nl-NL"/>
              </w:rPr>
            </w:pPr>
          </w:p>
        </w:tc>
        <w:tc>
          <w:tcPr>
            <w:tcW w:w="7076" w:type="dxa"/>
            <w:tcBorders>
              <w:top w:val="single" w:sz="4" w:space="0" w:color="auto"/>
            </w:tcBorders>
          </w:tcPr>
          <w:p w14:paraId="52B3195B" w14:textId="77777777" w:rsidR="006400C9" w:rsidRDefault="006400C9" w:rsidP="00B03A08">
            <w:pPr>
              <w:jc w:val="center"/>
              <w:rPr>
                <w:sz w:val="20"/>
                <w:szCs w:val="20"/>
                <w:lang w:val="nl-NL"/>
              </w:rPr>
            </w:pPr>
          </w:p>
          <w:p w14:paraId="3BE0A9CD" w14:textId="0E9E1ED4" w:rsidR="006400C9" w:rsidRDefault="006400C9" w:rsidP="00B03A08">
            <w:pPr>
              <w:jc w:val="center"/>
              <w:rPr>
                <w:rFonts w:cs="Arial"/>
                <w:color w:val="000000"/>
                <w:sz w:val="20"/>
                <w:szCs w:val="20"/>
                <w:lang w:val="nl-NL"/>
              </w:rPr>
            </w:pPr>
            <w:r>
              <w:rPr>
                <w:rFonts w:cs="Arial"/>
                <w:color w:val="000000"/>
                <w:sz w:val="20"/>
                <w:szCs w:val="20"/>
                <w:lang w:val="nl-NL"/>
              </w:rPr>
              <w:t xml:space="preserve">Deze functie is </w:t>
            </w:r>
            <w:r w:rsidR="005F16D2">
              <w:rPr>
                <w:rFonts w:cs="Arial"/>
                <w:color w:val="000000"/>
                <w:sz w:val="20"/>
                <w:szCs w:val="20"/>
                <w:lang w:val="nl-NL"/>
              </w:rPr>
              <w:t xml:space="preserve">in principe </w:t>
            </w:r>
            <w:r w:rsidR="001D40D4">
              <w:rPr>
                <w:rFonts w:cs="Arial"/>
                <w:color w:val="000000"/>
                <w:sz w:val="20"/>
                <w:szCs w:val="20"/>
                <w:lang w:val="nl-NL"/>
              </w:rPr>
              <w:t>gekoppeld aan een functie binnen het hoger kader</w:t>
            </w:r>
            <w:r w:rsidR="00123D5E">
              <w:rPr>
                <w:rFonts w:cs="Arial"/>
                <w:color w:val="000000"/>
                <w:sz w:val="20"/>
                <w:szCs w:val="20"/>
                <w:lang w:val="nl-NL"/>
              </w:rPr>
              <w:t>.</w:t>
            </w:r>
          </w:p>
          <w:p w14:paraId="34DEECF9" w14:textId="77777777" w:rsidR="006400C9" w:rsidRDefault="006400C9" w:rsidP="00B03A08">
            <w:pPr>
              <w:jc w:val="center"/>
              <w:rPr>
                <w:rFonts w:cs="Arial"/>
                <w:color w:val="000000"/>
                <w:sz w:val="20"/>
                <w:szCs w:val="20"/>
                <w:lang w:val="nl-NL"/>
              </w:rPr>
            </w:pPr>
          </w:p>
          <w:p w14:paraId="6735DB94" w14:textId="2DADE839" w:rsidR="006400C9" w:rsidRPr="00BE0919" w:rsidRDefault="006400C9" w:rsidP="00B03A08">
            <w:pPr>
              <w:jc w:val="center"/>
              <w:rPr>
                <w:rFonts w:cs="Arial"/>
                <w:color w:val="000000"/>
                <w:sz w:val="20"/>
                <w:szCs w:val="20"/>
                <w:lang w:val="nl-NL"/>
              </w:rPr>
            </w:pPr>
            <w:r w:rsidRPr="00BE0919">
              <w:rPr>
                <w:rFonts w:cs="Arial"/>
                <w:color w:val="000000"/>
                <w:sz w:val="20"/>
                <w:szCs w:val="20"/>
                <w:lang w:val="nl-NL"/>
              </w:rPr>
              <w:t xml:space="preserve">De zone voorziet deze </w:t>
            </w:r>
            <w:r>
              <w:rPr>
                <w:rFonts w:cs="Arial"/>
                <w:color w:val="000000"/>
                <w:sz w:val="20"/>
                <w:szCs w:val="20"/>
                <w:lang w:val="nl-NL"/>
              </w:rPr>
              <w:t>functie</w:t>
            </w:r>
            <w:r w:rsidRPr="00BE0919">
              <w:rPr>
                <w:rFonts w:cs="Arial"/>
                <w:color w:val="000000"/>
                <w:sz w:val="20"/>
                <w:szCs w:val="20"/>
                <w:lang w:val="nl-NL"/>
              </w:rPr>
              <w:t xml:space="preserve"> in functie van haar risicoanalyse.</w:t>
            </w:r>
          </w:p>
          <w:p w14:paraId="27DBAFB8" w14:textId="77777777" w:rsidR="006400C9" w:rsidRDefault="006400C9" w:rsidP="009A0481">
            <w:pPr>
              <w:rPr>
                <w:sz w:val="20"/>
                <w:szCs w:val="20"/>
                <w:lang w:val="nl-NL"/>
              </w:rPr>
            </w:pPr>
          </w:p>
          <w:p w14:paraId="708AFC85" w14:textId="77777777" w:rsidR="000106E2" w:rsidRDefault="000106E2" w:rsidP="000106E2">
            <w:pPr>
              <w:jc w:val="center"/>
              <w:rPr>
                <w:rFonts w:cs="Arial"/>
                <w:color w:val="000000"/>
                <w:sz w:val="20"/>
                <w:szCs w:val="20"/>
                <w:lang w:val="nl-NL"/>
              </w:rPr>
            </w:pPr>
            <w:r>
              <w:rPr>
                <w:rFonts w:cs="Arial"/>
                <w:color w:val="000000"/>
                <w:sz w:val="20"/>
                <w:szCs w:val="20"/>
                <w:lang w:val="nl-NL"/>
              </w:rPr>
              <w:t xml:space="preserve">Deze functie kan ook worden opgenomen in het kader van wedertewerkstelling op eigen verzoek, zoals bedoeld in artikel 119, van het </w:t>
            </w:r>
            <w:r>
              <w:rPr>
                <w:rFonts w:cs="Arial"/>
                <w:sz w:val="20"/>
                <w:szCs w:val="20"/>
                <w:lang w:val="nl-NL"/>
              </w:rPr>
              <w:t>koninklijk besluit van 19 april 2014 tot bepaling van het statuut van het operationeel personeel van de hulpverleningszones</w:t>
            </w:r>
          </w:p>
          <w:p w14:paraId="1F066910" w14:textId="77777777" w:rsidR="000106E2" w:rsidRDefault="000106E2" w:rsidP="000106E2">
            <w:pPr>
              <w:jc w:val="center"/>
              <w:rPr>
                <w:rFonts w:cs="Arial"/>
                <w:color w:val="000000"/>
                <w:sz w:val="20"/>
                <w:szCs w:val="20"/>
                <w:lang w:val="nl-NL"/>
              </w:rPr>
            </w:pPr>
          </w:p>
          <w:p w14:paraId="53F95045" w14:textId="77777777" w:rsidR="000106E2" w:rsidRDefault="000106E2" w:rsidP="000106E2">
            <w:pPr>
              <w:jc w:val="center"/>
              <w:rPr>
                <w:rFonts w:cs="Arial"/>
                <w:color w:val="000000"/>
                <w:sz w:val="20"/>
                <w:szCs w:val="20"/>
                <w:lang w:val="nl-NL"/>
              </w:rPr>
            </w:pPr>
            <w:r>
              <w:rPr>
                <w:rFonts w:cs="Arial"/>
                <w:color w:val="000000"/>
                <w:sz w:val="20"/>
                <w:szCs w:val="20"/>
                <w:lang w:val="nl-NL"/>
              </w:rPr>
              <w:t xml:space="preserve">Deze functie kan ook worden opgenomen in het kader van het ministerieel besluit van 11 juni 2015 tot vaststelling van de lijst met lichtere, aangepaste betrekkingen bedoeld in artikel 126, derde lid, van het koninklijk besluit van 19 april 2014 </w:t>
            </w:r>
            <w:r>
              <w:rPr>
                <w:rFonts w:cs="Arial"/>
                <w:sz w:val="20"/>
                <w:szCs w:val="20"/>
                <w:lang w:val="nl-NL"/>
              </w:rPr>
              <w:t xml:space="preserve">tot bepaling van het statuut van het operationeel personeel van de hulpverleningszones </w:t>
            </w:r>
          </w:p>
          <w:p w14:paraId="2957A43F" w14:textId="77777777" w:rsidR="00042A23" w:rsidRPr="009A0481" w:rsidRDefault="00042A23" w:rsidP="009A0481">
            <w:pPr>
              <w:rPr>
                <w:sz w:val="20"/>
                <w:szCs w:val="20"/>
                <w:lang w:val="nl-NL"/>
              </w:rPr>
            </w:pPr>
          </w:p>
        </w:tc>
      </w:tr>
      <w:tr w:rsidR="009A0481" w:rsidRPr="00052576" w14:paraId="50710453" w14:textId="77777777" w:rsidTr="005A3477">
        <w:tc>
          <w:tcPr>
            <w:tcW w:w="2206" w:type="dxa"/>
          </w:tcPr>
          <w:p w14:paraId="03E889FC" w14:textId="77777777" w:rsidR="009A0481" w:rsidRPr="009A0481" w:rsidRDefault="009A0481" w:rsidP="009A0481">
            <w:pPr>
              <w:rPr>
                <w:b/>
                <w:color w:val="0000FF"/>
                <w:sz w:val="20"/>
                <w:szCs w:val="20"/>
                <w:lang w:val="nl-NL"/>
              </w:rPr>
            </w:pPr>
            <w:r w:rsidRPr="009A0481">
              <w:rPr>
                <w:b/>
                <w:color w:val="0000FF"/>
                <w:sz w:val="20"/>
                <w:szCs w:val="20"/>
                <w:lang w:val="nl-NL"/>
              </w:rPr>
              <w:t>Doel</w:t>
            </w:r>
          </w:p>
        </w:tc>
        <w:tc>
          <w:tcPr>
            <w:tcW w:w="7076" w:type="dxa"/>
            <w:tcBorders>
              <w:top w:val="single" w:sz="4" w:space="0" w:color="auto"/>
            </w:tcBorders>
          </w:tcPr>
          <w:p w14:paraId="0B0234D5" w14:textId="77777777" w:rsidR="009A0481" w:rsidRPr="009A0481" w:rsidRDefault="009A0481" w:rsidP="009A0481">
            <w:pPr>
              <w:rPr>
                <w:sz w:val="20"/>
                <w:szCs w:val="20"/>
                <w:lang w:val="nl-NL"/>
              </w:rPr>
            </w:pPr>
          </w:p>
          <w:p w14:paraId="6EB19044" w14:textId="02DD7AD9" w:rsidR="009A0481" w:rsidRPr="00B65117" w:rsidRDefault="00973B7D" w:rsidP="006400C9">
            <w:pPr>
              <w:rPr>
                <w:rFonts w:cs="Arial"/>
                <w:color w:val="000000"/>
                <w:sz w:val="20"/>
                <w:szCs w:val="20"/>
                <w:lang w:val="nl-NL"/>
              </w:rPr>
            </w:pPr>
            <w:r>
              <w:rPr>
                <w:rFonts w:cs="Arial"/>
                <w:color w:val="000000"/>
                <w:sz w:val="20"/>
                <w:szCs w:val="20"/>
                <w:lang w:val="nl-NL"/>
              </w:rPr>
              <w:t xml:space="preserve">Het leiden van een groep operationele deskundigen, in hoofdzaak bij specialistische werkzaamheden waar </w:t>
            </w:r>
            <w:r w:rsidR="001D40D4">
              <w:rPr>
                <w:rFonts w:cs="Arial"/>
                <w:color w:val="000000"/>
                <w:sz w:val="20"/>
                <w:szCs w:val="20"/>
                <w:lang w:val="nl-NL"/>
              </w:rPr>
              <w:t>diepgaande</w:t>
            </w:r>
            <w:r>
              <w:rPr>
                <w:rFonts w:cs="Arial"/>
                <w:color w:val="000000"/>
                <w:sz w:val="20"/>
                <w:szCs w:val="20"/>
                <w:lang w:val="nl-NL"/>
              </w:rPr>
              <w:t xml:space="preserve"> kennis en vaardigheden verwacht worden.</w:t>
            </w:r>
          </w:p>
          <w:p w14:paraId="69D19205" w14:textId="77777777" w:rsidR="009A0481" w:rsidRDefault="009A0481" w:rsidP="00981462">
            <w:pPr>
              <w:pStyle w:val="Lijstalinea"/>
              <w:ind w:left="346"/>
              <w:rPr>
                <w:sz w:val="20"/>
                <w:szCs w:val="20"/>
              </w:rPr>
            </w:pPr>
          </w:p>
          <w:p w14:paraId="3DA4F543" w14:textId="77777777" w:rsidR="00042A23" w:rsidRDefault="00042A23" w:rsidP="00981462">
            <w:pPr>
              <w:pStyle w:val="Lijstalinea"/>
              <w:ind w:left="346"/>
              <w:rPr>
                <w:sz w:val="20"/>
                <w:szCs w:val="20"/>
              </w:rPr>
            </w:pPr>
          </w:p>
          <w:p w14:paraId="2CF86615" w14:textId="77777777" w:rsidR="00042A23" w:rsidRPr="009A0481" w:rsidRDefault="00042A23" w:rsidP="00981462">
            <w:pPr>
              <w:pStyle w:val="Lijstalinea"/>
              <w:ind w:left="346"/>
              <w:rPr>
                <w:sz w:val="20"/>
                <w:szCs w:val="20"/>
              </w:rPr>
            </w:pPr>
          </w:p>
        </w:tc>
      </w:tr>
      <w:tr w:rsidR="009A0481" w:rsidRPr="00052576" w14:paraId="02F6D96F" w14:textId="77777777" w:rsidTr="00A66F68">
        <w:tc>
          <w:tcPr>
            <w:tcW w:w="2206" w:type="dxa"/>
          </w:tcPr>
          <w:p w14:paraId="4C83416E" w14:textId="77777777" w:rsidR="009A0481" w:rsidRPr="009A0481" w:rsidRDefault="009A0481" w:rsidP="009A0481">
            <w:pPr>
              <w:rPr>
                <w:b/>
                <w:color w:val="0000FF"/>
                <w:sz w:val="20"/>
                <w:szCs w:val="20"/>
                <w:lang w:val="nl-NL"/>
              </w:rPr>
            </w:pPr>
            <w:r w:rsidRPr="009A0481">
              <w:rPr>
                <w:b/>
                <w:color w:val="0000FF"/>
                <w:sz w:val="20"/>
                <w:szCs w:val="20"/>
                <w:lang w:val="nl-NL"/>
              </w:rPr>
              <w:t>Beschrijving</w:t>
            </w:r>
          </w:p>
          <w:p w14:paraId="62720634" w14:textId="77777777" w:rsidR="009A0481" w:rsidRPr="009A0481" w:rsidRDefault="009A0481" w:rsidP="009A0481">
            <w:pPr>
              <w:rPr>
                <w:b/>
                <w:color w:val="0000FF"/>
                <w:sz w:val="20"/>
                <w:szCs w:val="20"/>
                <w:lang w:val="nl-NL"/>
              </w:rPr>
            </w:pPr>
          </w:p>
          <w:p w14:paraId="4B64F2A6" w14:textId="77777777" w:rsidR="009A0481" w:rsidRPr="009A0481" w:rsidRDefault="009A0481" w:rsidP="009A0481">
            <w:pPr>
              <w:rPr>
                <w:b/>
                <w:color w:val="0000FF"/>
                <w:sz w:val="20"/>
                <w:szCs w:val="20"/>
                <w:lang w:val="nl-NL"/>
              </w:rPr>
            </w:pPr>
          </w:p>
        </w:tc>
        <w:tc>
          <w:tcPr>
            <w:tcW w:w="7076" w:type="dxa"/>
          </w:tcPr>
          <w:p w14:paraId="7ABDAA82" w14:textId="77777777" w:rsidR="009A0481" w:rsidRDefault="009A0481" w:rsidP="009A0481">
            <w:pPr>
              <w:rPr>
                <w:sz w:val="20"/>
                <w:szCs w:val="20"/>
                <w:lang w:val="nl-NL"/>
              </w:rPr>
            </w:pPr>
          </w:p>
          <w:p w14:paraId="666D76CF" w14:textId="77777777" w:rsidR="009A0481" w:rsidRDefault="009A0481" w:rsidP="001D40D4">
            <w:pPr>
              <w:rPr>
                <w:sz w:val="20"/>
                <w:szCs w:val="20"/>
                <w:lang w:val="nl-NL"/>
              </w:rPr>
            </w:pPr>
            <w:r w:rsidRPr="00D4409B">
              <w:rPr>
                <w:sz w:val="20"/>
                <w:szCs w:val="20"/>
                <w:lang w:val="nl-NL"/>
              </w:rPr>
              <w:t xml:space="preserve">Een </w:t>
            </w:r>
            <w:r w:rsidR="00973B7D">
              <w:rPr>
                <w:sz w:val="20"/>
                <w:szCs w:val="20"/>
                <w:lang w:val="nl-NL"/>
              </w:rPr>
              <w:t xml:space="preserve">operationeel </w:t>
            </w:r>
            <w:r w:rsidR="001D40D4">
              <w:rPr>
                <w:sz w:val="20"/>
                <w:szCs w:val="20"/>
                <w:lang w:val="nl-NL"/>
              </w:rPr>
              <w:t>specialist</w:t>
            </w:r>
            <w:r w:rsidRPr="00D4409B">
              <w:rPr>
                <w:sz w:val="20"/>
                <w:szCs w:val="20"/>
                <w:lang w:val="nl-NL"/>
              </w:rPr>
              <w:t xml:space="preserve"> werkt samen met </w:t>
            </w:r>
            <w:r w:rsidR="00981462">
              <w:rPr>
                <w:sz w:val="20"/>
                <w:szCs w:val="20"/>
                <w:lang w:val="nl-NL"/>
              </w:rPr>
              <w:t>een</w:t>
            </w:r>
            <w:r w:rsidR="00123D5E">
              <w:rPr>
                <w:sz w:val="20"/>
                <w:szCs w:val="20"/>
                <w:lang w:val="nl-NL"/>
              </w:rPr>
              <w:t xml:space="preserve"> </w:t>
            </w:r>
            <w:r w:rsidR="00981462">
              <w:rPr>
                <w:sz w:val="20"/>
                <w:szCs w:val="20"/>
                <w:lang w:val="nl-NL"/>
              </w:rPr>
              <w:t xml:space="preserve">team van </w:t>
            </w:r>
            <w:r w:rsidR="001D40D4">
              <w:rPr>
                <w:sz w:val="20"/>
                <w:szCs w:val="20"/>
                <w:lang w:val="nl-NL"/>
              </w:rPr>
              <w:t>deskundigen</w:t>
            </w:r>
            <w:r w:rsidR="00973B7D">
              <w:rPr>
                <w:sz w:val="20"/>
                <w:szCs w:val="20"/>
                <w:lang w:val="nl-NL"/>
              </w:rPr>
              <w:t xml:space="preserve"> op hun vakgebied</w:t>
            </w:r>
            <w:r w:rsidR="00981462">
              <w:rPr>
                <w:sz w:val="20"/>
                <w:szCs w:val="20"/>
                <w:lang w:val="nl-NL"/>
              </w:rPr>
              <w:t xml:space="preserve"> en heeft hierin een </w:t>
            </w:r>
            <w:r w:rsidR="00123D5E">
              <w:rPr>
                <w:sz w:val="20"/>
                <w:szCs w:val="20"/>
                <w:lang w:val="nl-NL"/>
              </w:rPr>
              <w:t>leidende taak</w:t>
            </w:r>
            <w:r w:rsidR="00981462">
              <w:rPr>
                <w:sz w:val="20"/>
                <w:szCs w:val="20"/>
                <w:lang w:val="nl-NL"/>
              </w:rPr>
              <w:t>.</w:t>
            </w:r>
            <w:r w:rsidR="006400C9">
              <w:rPr>
                <w:sz w:val="20"/>
                <w:szCs w:val="20"/>
                <w:lang w:val="nl-NL"/>
              </w:rPr>
              <w:t xml:space="preserve"> </w:t>
            </w:r>
          </w:p>
          <w:p w14:paraId="15EE1613" w14:textId="77777777" w:rsidR="00FD7EC3" w:rsidRDefault="00FD7EC3" w:rsidP="001D40D4">
            <w:pPr>
              <w:rPr>
                <w:sz w:val="20"/>
                <w:szCs w:val="20"/>
                <w:lang w:val="nl-NL"/>
              </w:rPr>
            </w:pPr>
          </w:p>
          <w:p w14:paraId="0BC91E88" w14:textId="77777777" w:rsidR="00042A23" w:rsidRDefault="00042A23" w:rsidP="001D40D4">
            <w:pPr>
              <w:rPr>
                <w:sz w:val="20"/>
                <w:szCs w:val="20"/>
                <w:lang w:val="nl-NL"/>
              </w:rPr>
            </w:pPr>
          </w:p>
          <w:p w14:paraId="04E5E7B6" w14:textId="6FD83A8F" w:rsidR="00042A23" w:rsidRPr="009A0481" w:rsidRDefault="00042A23" w:rsidP="001D40D4">
            <w:pPr>
              <w:rPr>
                <w:sz w:val="20"/>
                <w:szCs w:val="20"/>
                <w:lang w:val="nl-NL"/>
              </w:rPr>
            </w:pPr>
          </w:p>
        </w:tc>
      </w:tr>
      <w:tr w:rsidR="009A0481" w:rsidRPr="00052576" w14:paraId="4409692D" w14:textId="77777777" w:rsidTr="00A66F68">
        <w:tc>
          <w:tcPr>
            <w:tcW w:w="2206" w:type="dxa"/>
          </w:tcPr>
          <w:p w14:paraId="46DE9E83" w14:textId="77777777" w:rsidR="009A0481" w:rsidRPr="009A0481" w:rsidRDefault="009A0481" w:rsidP="009A0481">
            <w:pPr>
              <w:rPr>
                <w:b/>
                <w:color w:val="0000FF"/>
                <w:sz w:val="20"/>
                <w:szCs w:val="20"/>
                <w:lang w:val="nl-NL"/>
              </w:rPr>
            </w:pPr>
            <w:r w:rsidRPr="009A0481">
              <w:rPr>
                <w:b/>
                <w:noProof/>
                <w:color w:val="0000FF"/>
                <w:sz w:val="20"/>
                <w:szCs w:val="20"/>
                <w:lang w:val="en-US"/>
              </w:rPr>
              <w:t>Kerntaken en takengebied</w:t>
            </w:r>
          </w:p>
        </w:tc>
        <w:tc>
          <w:tcPr>
            <w:tcW w:w="7076" w:type="dxa"/>
          </w:tcPr>
          <w:p w14:paraId="6573DB5C" w14:textId="77777777" w:rsidR="009A0481" w:rsidRPr="00A66F68" w:rsidRDefault="009A0481" w:rsidP="00A66F68">
            <w:pPr>
              <w:rPr>
                <w:sz w:val="20"/>
                <w:szCs w:val="20"/>
                <w:lang w:val="nl-NL"/>
              </w:rPr>
            </w:pPr>
          </w:p>
          <w:p w14:paraId="22F6A9C1" w14:textId="69EAA2D1" w:rsidR="00A66F68" w:rsidRPr="005A3477" w:rsidRDefault="00A66F68" w:rsidP="00A66F68">
            <w:pPr>
              <w:outlineLvl w:val="0"/>
              <w:rPr>
                <w:rFonts w:cs="Arial"/>
                <w:b/>
                <w:sz w:val="20"/>
                <w:szCs w:val="20"/>
                <w:u w:val="single"/>
                <w:lang w:val="nl-NL"/>
              </w:rPr>
            </w:pPr>
            <w:r w:rsidRPr="005A3477">
              <w:rPr>
                <w:rFonts w:cs="Arial"/>
                <w:b/>
                <w:sz w:val="20"/>
                <w:szCs w:val="20"/>
                <w:u w:val="single"/>
                <w:lang w:val="nl-NL"/>
              </w:rPr>
              <w:t>Kernresultaatsgebieden</w:t>
            </w:r>
          </w:p>
          <w:p w14:paraId="409D5793" w14:textId="77777777" w:rsidR="00A66F68" w:rsidRPr="00A66F68" w:rsidRDefault="00A66F68" w:rsidP="00A66F68">
            <w:pPr>
              <w:rPr>
                <w:rFonts w:cs="Arial"/>
                <w:sz w:val="20"/>
                <w:szCs w:val="20"/>
                <w:lang w:val="nl-NL"/>
              </w:rPr>
            </w:pPr>
          </w:p>
          <w:p w14:paraId="4CEA850E" w14:textId="492E6814" w:rsidR="001D40D4" w:rsidRPr="001D40D4" w:rsidRDefault="001D40D4" w:rsidP="001D40D4">
            <w:pPr>
              <w:rPr>
                <w:rFonts w:cs="Arial"/>
                <w:color w:val="000000"/>
                <w:sz w:val="20"/>
                <w:szCs w:val="20"/>
                <w:lang w:val="nl-NL"/>
              </w:rPr>
            </w:pPr>
            <w:r w:rsidRPr="001D40D4">
              <w:rPr>
                <w:rFonts w:cs="Arial"/>
                <w:color w:val="000000"/>
                <w:sz w:val="20"/>
                <w:szCs w:val="20"/>
                <w:lang w:val="nl-NL"/>
              </w:rPr>
              <w:t>Een grote kennis verwerven, toepassen en delen met bet</w:t>
            </w:r>
            <w:r w:rsidR="00503085">
              <w:rPr>
                <w:rFonts w:cs="Arial"/>
                <w:color w:val="000000"/>
                <w:sz w:val="20"/>
                <w:szCs w:val="20"/>
                <w:lang w:val="nl-NL"/>
              </w:rPr>
              <w:t xml:space="preserve">rekking tot een operationele </w:t>
            </w:r>
            <w:r w:rsidRPr="001D40D4">
              <w:rPr>
                <w:rFonts w:cs="Arial"/>
                <w:color w:val="000000"/>
                <w:sz w:val="20"/>
                <w:szCs w:val="20"/>
                <w:lang w:val="nl-NL"/>
              </w:rPr>
              <w:t>specialiteit teneinde ook atypische, (zeer) ingewikkelde interventies of opdrachten waarbij een hoog kennisniveau vereist is, op een efficiënte, doeltreffende, kwaliteitsvolle en veilige manier te kunnen uitvoeren.</w:t>
            </w:r>
          </w:p>
          <w:p w14:paraId="730B9B43" w14:textId="77777777" w:rsidR="00A66F68" w:rsidRPr="00A66F68" w:rsidRDefault="00A66F68" w:rsidP="00A66F68">
            <w:pPr>
              <w:rPr>
                <w:rFonts w:cs="Arial"/>
                <w:color w:val="000000"/>
                <w:sz w:val="20"/>
                <w:szCs w:val="20"/>
                <w:lang w:val="nl-NL"/>
              </w:rPr>
            </w:pPr>
          </w:p>
          <w:p w14:paraId="1F503CC6" w14:textId="77777777" w:rsidR="00A66F68" w:rsidRPr="00A66F68" w:rsidRDefault="00A66F68" w:rsidP="00A66F68">
            <w:pPr>
              <w:ind w:firstLine="360"/>
              <w:outlineLvl w:val="0"/>
              <w:rPr>
                <w:rFonts w:cs="Arial"/>
                <w:sz w:val="20"/>
                <w:szCs w:val="20"/>
                <w:u w:val="single"/>
                <w:lang w:val="nl-NL"/>
              </w:rPr>
            </w:pPr>
            <w:r w:rsidRPr="00A66F68">
              <w:rPr>
                <w:rFonts w:cs="Arial"/>
                <w:sz w:val="20"/>
                <w:szCs w:val="20"/>
                <w:u w:val="single"/>
                <w:lang w:val="nl-NL"/>
              </w:rPr>
              <w:t>Mogelijke taken (niet limitatief):</w:t>
            </w:r>
          </w:p>
          <w:p w14:paraId="24C49D50" w14:textId="3D9CE0E9" w:rsidR="001D40D4" w:rsidRPr="001D40D4" w:rsidRDefault="001D40D4" w:rsidP="001D40D4">
            <w:pPr>
              <w:numPr>
                <w:ilvl w:val="0"/>
                <w:numId w:val="10"/>
              </w:numPr>
              <w:rPr>
                <w:rFonts w:cs="Arial"/>
                <w:color w:val="000000"/>
                <w:sz w:val="20"/>
                <w:szCs w:val="20"/>
                <w:lang w:val="nl-NL"/>
              </w:rPr>
            </w:pPr>
            <w:r w:rsidRPr="001D40D4">
              <w:rPr>
                <w:rFonts w:cs="Arial"/>
                <w:color w:val="000000"/>
                <w:sz w:val="20"/>
                <w:szCs w:val="20"/>
                <w:lang w:val="nl-NL"/>
              </w:rPr>
              <w:t xml:space="preserve">Het </w:t>
            </w:r>
            <w:r w:rsidR="00811656">
              <w:rPr>
                <w:rFonts w:cs="Arial"/>
                <w:color w:val="000000"/>
                <w:sz w:val="20"/>
                <w:szCs w:val="20"/>
                <w:lang w:val="nl-NL"/>
              </w:rPr>
              <w:t>verwerven</w:t>
            </w:r>
            <w:r w:rsidRPr="001D40D4">
              <w:rPr>
                <w:rFonts w:cs="Arial"/>
                <w:color w:val="000000"/>
                <w:sz w:val="20"/>
                <w:szCs w:val="20"/>
                <w:lang w:val="nl-NL"/>
              </w:rPr>
              <w:t xml:space="preserve"> van nieuwe kennis en </w:t>
            </w:r>
            <w:r w:rsidR="00811656">
              <w:rPr>
                <w:rFonts w:cs="Arial"/>
                <w:color w:val="000000"/>
                <w:sz w:val="20"/>
                <w:szCs w:val="20"/>
                <w:lang w:val="nl-NL"/>
              </w:rPr>
              <w:t xml:space="preserve">nieuwe </w:t>
            </w:r>
            <w:r w:rsidRPr="001D40D4">
              <w:rPr>
                <w:rFonts w:cs="Arial"/>
                <w:color w:val="000000"/>
                <w:sz w:val="20"/>
                <w:szCs w:val="20"/>
                <w:lang w:val="nl-NL"/>
              </w:rPr>
              <w:t>vaardigheden</w:t>
            </w:r>
            <w:r w:rsidR="00811656">
              <w:rPr>
                <w:rFonts w:cs="Arial"/>
                <w:color w:val="000000"/>
                <w:sz w:val="20"/>
                <w:szCs w:val="20"/>
                <w:lang w:val="nl-NL"/>
              </w:rPr>
              <w:t xml:space="preserve"> ontwikkelen</w:t>
            </w:r>
            <w:r>
              <w:rPr>
                <w:rFonts w:cs="Arial"/>
                <w:color w:val="000000"/>
                <w:sz w:val="20"/>
                <w:szCs w:val="20"/>
                <w:lang w:val="nl-NL"/>
              </w:rPr>
              <w:t>.</w:t>
            </w:r>
          </w:p>
          <w:p w14:paraId="25D3BD10" w14:textId="1021E270" w:rsidR="001D40D4" w:rsidRDefault="001D40D4" w:rsidP="001D40D4">
            <w:pPr>
              <w:numPr>
                <w:ilvl w:val="0"/>
                <w:numId w:val="10"/>
              </w:numPr>
              <w:rPr>
                <w:rFonts w:cs="Arial"/>
                <w:color w:val="000000"/>
                <w:sz w:val="20"/>
                <w:szCs w:val="20"/>
                <w:lang w:val="nl-NL"/>
              </w:rPr>
            </w:pPr>
            <w:r w:rsidRPr="001D40D4">
              <w:rPr>
                <w:rFonts w:cs="Arial"/>
                <w:color w:val="000000"/>
                <w:sz w:val="20"/>
                <w:szCs w:val="20"/>
                <w:lang w:val="nl-NL"/>
              </w:rPr>
              <w:t>Het geven van operationeel of technisch advies met betrekking tot bijzonder complexe of zeer gevaar</w:t>
            </w:r>
            <w:r>
              <w:rPr>
                <w:rFonts w:cs="Arial"/>
                <w:color w:val="000000"/>
                <w:sz w:val="20"/>
                <w:szCs w:val="20"/>
                <w:lang w:val="nl-NL"/>
              </w:rPr>
              <w:t xml:space="preserve"> </w:t>
            </w:r>
            <w:r w:rsidRPr="001D40D4">
              <w:rPr>
                <w:rFonts w:cs="Arial"/>
                <w:color w:val="000000"/>
                <w:sz w:val="20"/>
                <w:szCs w:val="20"/>
                <w:lang w:val="nl-NL"/>
              </w:rPr>
              <w:t xml:space="preserve">houdende materies (gevaarlijke stoffen, complexe </w:t>
            </w:r>
            <w:proofErr w:type="spellStart"/>
            <w:r w:rsidRPr="001D40D4">
              <w:rPr>
                <w:rFonts w:cs="Arial"/>
                <w:color w:val="000000"/>
                <w:sz w:val="20"/>
                <w:szCs w:val="20"/>
                <w:lang w:val="nl-NL"/>
              </w:rPr>
              <w:t>reddingstechnieken</w:t>
            </w:r>
            <w:proofErr w:type="spellEnd"/>
            <w:r w:rsidRPr="001D40D4">
              <w:rPr>
                <w:rFonts w:cs="Arial"/>
                <w:color w:val="000000"/>
                <w:sz w:val="20"/>
                <w:szCs w:val="20"/>
                <w:lang w:val="nl-NL"/>
              </w:rPr>
              <w:t>, ... )</w:t>
            </w:r>
            <w:r>
              <w:rPr>
                <w:rFonts w:cs="Arial"/>
                <w:color w:val="000000"/>
                <w:sz w:val="20"/>
                <w:szCs w:val="20"/>
                <w:lang w:val="nl-NL"/>
              </w:rPr>
              <w:t>.</w:t>
            </w:r>
          </w:p>
          <w:p w14:paraId="16FA2870" w14:textId="77777777" w:rsidR="00042A23" w:rsidRDefault="00042A23" w:rsidP="00042A23">
            <w:pPr>
              <w:ind w:left="720"/>
              <w:rPr>
                <w:rFonts w:cs="Arial"/>
                <w:color w:val="000000"/>
                <w:sz w:val="20"/>
                <w:szCs w:val="20"/>
                <w:lang w:val="nl-NL"/>
              </w:rPr>
            </w:pPr>
          </w:p>
          <w:p w14:paraId="05BBAC2E" w14:textId="77777777" w:rsidR="00042A23" w:rsidRPr="001D40D4" w:rsidRDefault="00042A23" w:rsidP="00042A23">
            <w:pPr>
              <w:ind w:left="720"/>
              <w:rPr>
                <w:rFonts w:cs="Arial"/>
                <w:color w:val="000000"/>
                <w:sz w:val="20"/>
                <w:szCs w:val="20"/>
                <w:lang w:val="nl-NL"/>
              </w:rPr>
            </w:pPr>
          </w:p>
          <w:p w14:paraId="53A38A9C" w14:textId="77777777" w:rsidR="009A0481" w:rsidRDefault="009A0481" w:rsidP="009A0481">
            <w:pPr>
              <w:rPr>
                <w:sz w:val="20"/>
                <w:szCs w:val="20"/>
                <w:lang w:val="nl-NL"/>
              </w:rPr>
            </w:pPr>
          </w:p>
        </w:tc>
      </w:tr>
      <w:tr w:rsidR="00B65117" w:rsidRPr="00052576" w14:paraId="21EDB3D2" w14:textId="77777777" w:rsidTr="00A66F68">
        <w:tc>
          <w:tcPr>
            <w:tcW w:w="2206" w:type="dxa"/>
          </w:tcPr>
          <w:p w14:paraId="21D05839" w14:textId="3A234F8D" w:rsidR="00B65117" w:rsidRPr="009A0481" w:rsidRDefault="00B65117" w:rsidP="009A0481">
            <w:pPr>
              <w:rPr>
                <w:b/>
                <w:color w:val="0000FF"/>
                <w:sz w:val="20"/>
                <w:szCs w:val="20"/>
                <w:lang w:val="nl-NL"/>
              </w:rPr>
            </w:pPr>
            <w:r w:rsidRPr="009A0481">
              <w:rPr>
                <w:b/>
                <w:color w:val="0000FF"/>
                <w:sz w:val="20"/>
                <w:szCs w:val="20"/>
                <w:lang w:val="nl-NL"/>
              </w:rPr>
              <w:t>Plaats in de organisatie</w:t>
            </w:r>
          </w:p>
        </w:tc>
        <w:tc>
          <w:tcPr>
            <w:tcW w:w="7076" w:type="dxa"/>
          </w:tcPr>
          <w:p w14:paraId="07B80603" w14:textId="77777777" w:rsidR="00B65117" w:rsidRDefault="00B65117" w:rsidP="00B65117">
            <w:pPr>
              <w:jc w:val="both"/>
              <w:outlineLvl w:val="0"/>
              <w:rPr>
                <w:rFonts w:cs="Arial"/>
                <w:b/>
                <w:sz w:val="20"/>
                <w:szCs w:val="20"/>
                <w:u w:val="single"/>
                <w:lang w:val="nl-NL"/>
              </w:rPr>
            </w:pPr>
          </w:p>
          <w:p w14:paraId="75666270" w14:textId="77777777" w:rsidR="00B65117" w:rsidRPr="005A3477" w:rsidRDefault="00B65117" w:rsidP="00B65117">
            <w:pPr>
              <w:jc w:val="both"/>
              <w:outlineLvl w:val="0"/>
              <w:rPr>
                <w:rFonts w:cs="Arial"/>
                <w:b/>
                <w:sz w:val="20"/>
                <w:szCs w:val="20"/>
                <w:u w:val="single"/>
                <w:lang w:val="nl-NL"/>
              </w:rPr>
            </w:pPr>
            <w:r w:rsidRPr="005A3477">
              <w:rPr>
                <w:rFonts w:cs="Arial"/>
                <w:b/>
                <w:sz w:val="20"/>
                <w:szCs w:val="20"/>
                <w:u w:val="single"/>
                <w:lang w:val="nl-NL"/>
              </w:rPr>
              <w:t>De functie krijgt leiding van:</w:t>
            </w:r>
          </w:p>
          <w:p w14:paraId="3EFB1E34" w14:textId="579E577D" w:rsidR="00B65117" w:rsidRPr="009A0481" w:rsidRDefault="00B65117" w:rsidP="00B65117">
            <w:pPr>
              <w:rPr>
                <w:rFonts w:cs="Arial"/>
                <w:sz w:val="20"/>
                <w:szCs w:val="20"/>
                <w:lang w:val="nl-NL"/>
              </w:rPr>
            </w:pPr>
            <w:r>
              <w:rPr>
                <w:rFonts w:cs="Arial"/>
                <w:sz w:val="20"/>
                <w:szCs w:val="20"/>
                <w:lang w:val="nl-NL"/>
              </w:rPr>
              <w:t xml:space="preserve">In </w:t>
            </w:r>
            <w:r w:rsidR="00973B7D">
              <w:rPr>
                <w:rFonts w:cs="Arial"/>
                <w:sz w:val="20"/>
                <w:szCs w:val="20"/>
                <w:lang w:val="nl-NL"/>
              </w:rPr>
              <w:t>operationele situaties</w:t>
            </w:r>
            <w:r w:rsidRPr="009A0481">
              <w:rPr>
                <w:rFonts w:cs="Arial"/>
                <w:sz w:val="20"/>
                <w:szCs w:val="20"/>
                <w:lang w:val="nl-NL"/>
              </w:rPr>
              <w:t xml:space="preserve"> </w:t>
            </w:r>
            <w:r>
              <w:rPr>
                <w:rFonts w:cs="Arial"/>
                <w:sz w:val="20"/>
                <w:szCs w:val="20"/>
                <w:lang w:val="nl-NL"/>
              </w:rPr>
              <w:t>krijgt hij</w:t>
            </w:r>
            <w:r w:rsidRPr="009A0481">
              <w:rPr>
                <w:rFonts w:cs="Arial"/>
                <w:sz w:val="20"/>
                <w:szCs w:val="20"/>
                <w:lang w:val="nl-NL"/>
              </w:rPr>
              <w:t xml:space="preserve"> functionele leidi</w:t>
            </w:r>
            <w:r>
              <w:rPr>
                <w:rFonts w:cs="Arial"/>
                <w:sz w:val="20"/>
                <w:szCs w:val="20"/>
                <w:lang w:val="nl-NL"/>
              </w:rPr>
              <w:t xml:space="preserve">ng van </w:t>
            </w:r>
            <w:r w:rsidR="00973B7D">
              <w:rPr>
                <w:rFonts w:cs="Arial"/>
                <w:sz w:val="20"/>
                <w:szCs w:val="20"/>
                <w:lang w:val="nl-NL"/>
              </w:rPr>
              <w:t xml:space="preserve">een </w:t>
            </w:r>
            <w:r w:rsidR="001D40D4">
              <w:rPr>
                <w:rFonts w:cs="Arial"/>
                <w:sz w:val="20"/>
                <w:szCs w:val="20"/>
                <w:lang w:val="nl-NL"/>
              </w:rPr>
              <w:t xml:space="preserve">hogere </w:t>
            </w:r>
            <w:r w:rsidR="00FD7EC3">
              <w:rPr>
                <w:rFonts w:cs="Arial"/>
                <w:sz w:val="20"/>
                <w:szCs w:val="20"/>
                <w:lang w:val="nl-NL"/>
              </w:rPr>
              <w:t>officier</w:t>
            </w:r>
            <w:r w:rsidR="001D40D4">
              <w:rPr>
                <w:rFonts w:cs="Arial"/>
                <w:sz w:val="20"/>
                <w:szCs w:val="20"/>
                <w:lang w:val="nl-NL"/>
              </w:rPr>
              <w:t>.</w:t>
            </w:r>
            <w:r w:rsidR="00973B7D">
              <w:rPr>
                <w:rFonts w:cs="Arial"/>
                <w:sz w:val="20"/>
                <w:szCs w:val="20"/>
                <w:lang w:val="nl-NL"/>
              </w:rPr>
              <w:t xml:space="preserve"> </w:t>
            </w:r>
          </w:p>
          <w:p w14:paraId="42C28988" w14:textId="77777777" w:rsidR="00B65117" w:rsidRPr="009A0481" w:rsidRDefault="00B65117" w:rsidP="00B65117">
            <w:pPr>
              <w:jc w:val="both"/>
              <w:rPr>
                <w:rFonts w:cs="Arial"/>
                <w:sz w:val="20"/>
                <w:szCs w:val="20"/>
                <w:lang w:val="nl-NL"/>
              </w:rPr>
            </w:pPr>
          </w:p>
          <w:p w14:paraId="3C22FBAD" w14:textId="3FF90A4F" w:rsidR="00B65117" w:rsidRPr="005A3477" w:rsidRDefault="00B65117" w:rsidP="00B65117">
            <w:pPr>
              <w:jc w:val="both"/>
              <w:outlineLvl w:val="0"/>
              <w:rPr>
                <w:rFonts w:cs="Arial"/>
                <w:b/>
                <w:sz w:val="20"/>
                <w:szCs w:val="20"/>
                <w:u w:val="single"/>
                <w:lang w:val="nl-NL"/>
              </w:rPr>
            </w:pPr>
            <w:r w:rsidRPr="005A3477">
              <w:rPr>
                <w:rFonts w:cs="Arial"/>
                <w:b/>
                <w:sz w:val="20"/>
                <w:szCs w:val="20"/>
                <w:u w:val="single"/>
                <w:lang w:val="nl-NL"/>
              </w:rPr>
              <w:t>De functie geeft leiding</w:t>
            </w:r>
            <w:r w:rsidR="00123D5E">
              <w:rPr>
                <w:rFonts w:cs="Arial"/>
                <w:b/>
                <w:sz w:val="20"/>
                <w:szCs w:val="20"/>
                <w:u w:val="single"/>
                <w:lang w:val="nl-NL"/>
              </w:rPr>
              <w:t xml:space="preserve"> aan</w:t>
            </w:r>
            <w:r w:rsidRPr="005A3477">
              <w:rPr>
                <w:rFonts w:cs="Arial"/>
                <w:b/>
                <w:sz w:val="20"/>
                <w:szCs w:val="20"/>
                <w:u w:val="single"/>
                <w:lang w:val="nl-NL"/>
              </w:rPr>
              <w:t>:</w:t>
            </w:r>
          </w:p>
          <w:p w14:paraId="44A928FA" w14:textId="03B29433" w:rsidR="00FD7EC3" w:rsidRDefault="00123D5E" w:rsidP="00042A23">
            <w:pPr>
              <w:jc w:val="both"/>
              <w:outlineLvl w:val="0"/>
              <w:rPr>
                <w:rFonts w:cs="Arial"/>
                <w:sz w:val="20"/>
                <w:szCs w:val="20"/>
                <w:lang w:val="nl-NL"/>
              </w:rPr>
            </w:pPr>
            <w:r>
              <w:rPr>
                <w:rFonts w:cs="Arial"/>
                <w:sz w:val="20"/>
                <w:szCs w:val="20"/>
                <w:lang w:val="nl-NL"/>
              </w:rPr>
              <w:t xml:space="preserve">Een groep van </w:t>
            </w:r>
            <w:r w:rsidR="00973B7D">
              <w:rPr>
                <w:rFonts w:cs="Arial"/>
                <w:sz w:val="20"/>
                <w:szCs w:val="20"/>
                <w:lang w:val="nl-NL"/>
              </w:rPr>
              <w:t xml:space="preserve">operationele </w:t>
            </w:r>
            <w:r w:rsidR="001D40D4">
              <w:rPr>
                <w:rFonts w:cs="Arial"/>
                <w:sz w:val="20"/>
                <w:szCs w:val="20"/>
                <w:lang w:val="nl-NL"/>
              </w:rPr>
              <w:t>deskundigen of specialisten.</w:t>
            </w:r>
          </w:p>
          <w:p w14:paraId="74EC128F" w14:textId="77777777" w:rsidR="00042A23" w:rsidRDefault="00042A23" w:rsidP="00042A23">
            <w:pPr>
              <w:jc w:val="both"/>
              <w:outlineLvl w:val="0"/>
              <w:rPr>
                <w:rFonts w:cs="Arial"/>
                <w:sz w:val="20"/>
                <w:szCs w:val="20"/>
                <w:lang w:val="nl-NL"/>
              </w:rPr>
            </w:pPr>
          </w:p>
          <w:p w14:paraId="31F100E2" w14:textId="77777777" w:rsidR="00042A23" w:rsidRDefault="00042A23" w:rsidP="00042A23">
            <w:pPr>
              <w:jc w:val="both"/>
              <w:outlineLvl w:val="0"/>
              <w:rPr>
                <w:rFonts w:cs="Arial"/>
                <w:sz w:val="20"/>
                <w:szCs w:val="20"/>
                <w:lang w:val="nl-NL"/>
              </w:rPr>
            </w:pPr>
          </w:p>
          <w:p w14:paraId="1F90F455" w14:textId="77777777" w:rsidR="00042A23" w:rsidRPr="00042A23" w:rsidRDefault="00042A23" w:rsidP="00042A23">
            <w:pPr>
              <w:jc w:val="both"/>
              <w:outlineLvl w:val="0"/>
              <w:rPr>
                <w:rFonts w:cs="Arial"/>
                <w:sz w:val="20"/>
                <w:szCs w:val="20"/>
                <w:lang w:val="nl-NL"/>
              </w:rPr>
            </w:pPr>
          </w:p>
          <w:p w14:paraId="50D54CBC" w14:textId="77777777" w:rsidR="00FD7EC3" w:rsidRPr="00A66F68" w:rsidRDefault="00FD7EC3" w:rsidP="00A66F68">
            <w:pPr>
              <w:rPr>
                <w:sz w:val="20"/>
                <w:szCs w:val="20"/>
                <w:lang w:val="nl-NL"/>
              </w:rPr>
            </w:pPr>
          </w:p>
        </w:tc>
      </w:tr>
      <w:tr w:rsidR="006400C9" w:rsidRPr="00052576" w14:paraId="4445A9E7" w14:textId="77777777" w:rsidTr="00A66F68">
        <w:tc>
          <w:tcPr>
            <w:tcW w:w="2206" w:type="dxa"/>
          </w:tcPr>
          <w:p w14:paraId="7A0636D2" w14:textId="77777777" w:rsidR="006400C9" w:rsidRPr="009A0481" w:rsidRDefault="006400C9" w:rsidP="00C24CDE">
            <w:pPr>
              <w:rPr>
                <w:b/>
                <w:color w:val="0000FF"/>
                <w:sz w:val="20"/>
                <w:szCs w:val="20"/>
                <w:lang w:val="nl-NL"/>
              </w:rPr>
            </w:pPr>
          </w:p>
          <w:p w14:paraId="0BB3CE41" w14:textId="708F32DE" w:rsidR="006400C9" w:rsidRPr="009A0481" w:rsidRDefault="006400C9" w:rsidP="00D93787">
            <w:pPr>
              <w:rPr>
                <w:b/>
                <w:color w:val="0000FF"/>
                <w:sz w:val="20"/>
                <w:szCs w:val="20"/>
                <w:lang w:val="nl-NL"/>
              </w:rPr>
            </w:pPr>
          </w:p>
        </w:tc>
        <w:tc>
          <w:tcPr>
            <w:tcW w:w="7076" w:type="dxa"/>
          </w:tcPr>
          <w:p w14:paraId="44961D58" w14:textId="77777777" w:rsidR="006400C9" w:rsidRDefault="006400C9" w:rsidP="00C24CDE">
            <w:pPr>
              <w:rPr>
                <w:sz w:val="20"/>
                <w:szCs w:val="20"/>
                <w:lang w:val="nl-NL"/>
              </w:rPr>
            </w:pPr>
          </w:p>
          <w:p w14:paraId="4DF0A29E" w14:textId="77777777" w:rsidR="006400C9" w:rsidRDefault="006400C9" w:rsidP="00C24CDE">
            <w:pPr>
              <w:jc w:val="both"/>
              <w:outlineLvl w:val="0"/>
              <w:rPr>
                <w:sz w:val="20"/>
                <w:szCs w:val="20"/>
                <w:lang w:val="nl-NL"/>
              </w:rPr>
            </w:pPr>
            <w:r w:rsidRPr="001F1828">
              <w:rPr>
                <w:sz w:val="20"/>
                <w:szCs w:val="20"/>
                <w:lang w:val="nl-NL"/>
              </w:rPr>
              <w:t>De functiebeschrijving voor de onderdelen:</w:t>
            </w:r>
          </w:p>
          <w:p w14:paraId="1B94EB55" w14:textId="77777777" w:rsidR="006400C9" w:rsidRPr="00630625" w:rsidRDefault="006400C9" w:rsidP="006400C9">
            <w:pPr>
              <w:pStyle w:val="Lijstalinea"/>
              <w:numPr>
                <w:ilvl w:val="0"/>
                <w:numId w:val="9"/>
              </w:numPr>
              <w:jc w:val="both"/>
              <w:outlineLvl w:val="0"/>
              <w:rPr>
                <w:rFonts w:ascii="Arial" w:hAnsi="Arial" w:cs="Arial"/>
                <w:sz w:val="20"/>
                <w:szCs w:val="20"/>
              </w:rPr>
            </w:pPr>
            <w:r w:rsidRPr="00630625">
              <w:rPr>
                <w:rFonts w:ascii="Arial" w:hAnsi="Arial" w:cs="Arial"/>
                <w:sz w:val="20"/>
                <w:szCs w:val="20"/>
              </w:rPr>
              <w:t>Netwerkelementen</w:t>
            </w:r>
          </w:p>
          <w:p w14:paraId="3B14EC6D" w14:textId="77777777" w:rsidR="006400C9" w:rsidRPr="00630625" w:rsidRDefault="006400C9" w:rsidP="006400C9">
            <w:pPr>
              <w:pStyle w:val="Lijstalinea"/>
              <w:numPr>
                <w:ilvl w:val="0"/>
                <w:numId w:val="9"/>
              </w:numPr>
              <w:jc w:val="both"/>
              <w:outlineLvl w:val="0"/>
              <w:rPr>
                <w:rFonts w:ascii="Arial" w:hAnsi="Arial" w:cs="Arial"/>
                <w:sz w:val="20"/>
                <w:szCs w:val="20"/>
              </w:rPr>
            </w:pPr>
            <w:r w:rsidRPr="00630625">
              <w:rPr>
                <w:rFonts w:ascii="Arial" w:hAnsi="Arial" w:cs="Arial"/>
                <w:sz w:val="20"/>
                <w:szCs w:val="20"/>
              </w:rPr>
              <w:t>Autonomie</w:t>
            </w:r>
          </w:p>
          <w:p w14:paraId="2CBEF58E" w14:textId="409F7465" w:rsidR="006400C9" w:rsidRDefault="006400C9" w:rsidP="006400C9">
            <w:pPr>
              <w:pStyle w:val="Lijstalinea"/>
              <w:numPr>
                <w:ilvl w:val="0"/>
                <w:numId w:val="9"/>
              </w:numPr>
              <w:jc w:val="both"/>
              <w:outlineLvl w:val="0"/>
              <w:rPr>
                <w:rFonts w:ascii="Arial" w:hAnsi="Arial" w:cs="Arial"/>
                <w:sz w:val="20"/>
                <w:szCs w:val="20"/>
              </w:rPr>
            </w:pPr>
            <w:r w:rsidRPr="00630625">
              <w:rPr>
                <w:rFonts w:ascii="Arial" w:hAnsi="Arial" w:cs="Arial"/>
                <w:sz w:val="20"/>
                <w:szCs w:val="20"/>
              </w:rPr>
              <w:t xml:space="preserve">Arbeidsvoorwaarden en </w:t>
            </w:r>
            <w:r w:rsidR="00FD7EC3">
              <w:rPr>
                <w:rFonts w:ascii="Arial" w:hAnsi="Arial" w:cs="Arial"/>
                <w:sz w:val="20"/>
                <w:szCs w:val="20"/>
              </w:rPr>
              <w:t>–</w:t>
            </w:r>
            <w:r w:rsidRPr="00630625">
              <w:rPr>
                <w:rFonts w:ascii="Arial" w:hAnsi="Arial" w:cs="Arial"/>
                <w:sz w:val="20"/>
                <w:szCs w:val="20"/>
              </w:rPr>
              <w:t>omstandigheden</w:t>
            </w:r>
          </w:p>
          <w:p w14:paraId="2C292AC4" w14:textId="77777777" w:rsidR="00FD7EC3" w:rsidRPr="00630625" w:rsidRDefault="00FD7EC3" w:rsidP="00FD7EC3">
            <w:pPr>
              <w:pStyle w:val="Lijstalinea"/>
              <w:jc w:val="both"/>
              <w:outlineLvl w:val="0"/>
              <w:rPr>
                <w:rFonts w:ascii="Arial" w:hAnsi="Arial" w:cs="Arial"/>
                <w:sz w:val="20"/>
                <w:szCs w:val="20"/>
              </w:rPr>
            </w:pPr>
          </w:p>
          <w:p w14:paraId="1AF8579C" w14:textId="1FE84EC1" w:rsidR="006400C9" w:rsidRPr="009A0481" w:rsidRDefault="00FD7EC3" w:rsidP="00FD7EC3">
            <w:pPr>
              <w:rPr>
                <w:sz w:val="20"/>
                <w:szCs w:val="20"/>
                <w:lang w:val="nl-NL"/>
              </w:rPr>
            </w:pPr>
            <w:r>
              <w:rPr>
                <w:sz w:val="20"/>
                <w:szCs w:val="20"/>
                <w:lang w:val="nl-NL"/>
              </w:rPr>
              <w:t xml:space="preserve"> is</w:t>
            </w:r>
            <w:r w:rsidR="006400C9">
              <w:rPr>
                <w:sz w:val="20"/>
                <w:szCs w:val="20"/>
                <w:lang w:val="nl-NL"/>
              </w:rPr>
              <w:t xml:space="preserve"> terug</w:t>
            </w:r>
            <w:r>
              <w:rPr>
                <w:sz w:val="20"/>
                <w:szCs w:val="20"/>
                <w:lang w:val="nl-NL"/>
              </w:rPr>
              <w:t xml:space="preserve"> te </w:t>
            </w:r>
            <w:r w:rsidR="006400C9">
              <w:rPr>
                <w:sz w:val="20"/>
                <w:szCs w:val="20"/>
                <w:lang w:val="nl-NL"/>
              </w:rPr>
              <w:t>vinden bij de aangekoppelde functie</w:t>
            </w:r>
            <w:r w:rsidR="007F2A66">
              <w:rPr>
                <w:sz w:val="20"/>
                <w:szCs w:val="20"/>
                <w:lang w:val="nl-NL"/>
              </w:rPr>
              <w:t>beschrijving</w:t>
            </w:r>
            <w:r w:rsidR="006400C9">
              <w:rPr>
                <w:sz w:val="20"/>
                <w:szCs w:val="20"/>
                <w:lang w:val="nl-NL"/>
              </w:rPr>
              <w:t xml:space="preserve"> </w:t>
            </w:r>
            <w:r w:rsidR="001D40D4">
              <w:rPr>
                <w:sz w:val="20"/>
                <w:szCs w:val="20"/>
                <w:lang w:val="nl-NL"/>
              </w:rPr>
              <w:t>in het hoger kader</w:t>
            </w:r>
            <w:r>
              <w:rPr>
                <w:sz w:val="20"/>
                <w:szCs w:val="20"/>
                <w:lang w:val="nl-NL"/>
              </w:rPr>
              <w:t xml:space="preserve"> </w:t>
            </w:r>
            <w:r w:rsidRPr="001460EC">
              <w:rPr>
                <w:sz w:val="20"/>
                <w:szCs w:val="20"/>
                <w:lang w:val="nl-NL"/>
              </w:rPr>
              <w:t xml:space="preserve">of volgens de bepalingen in het </w:t>
            </w:r>
            <w:r w:rsidRPr="001460EC">
              <w:rPr>
                <w:rFonts w:cs="Arial"/>
                <w:sz w:val="20"/>
                <w:szCs w:val="20"/>
                <w:lang w:val="nl-NL"/>
              </w:rPr>
              <w:t>koninklijk besluit van 19 april 2014 tot bepaling van het statuut van het operationeel perso</w:t>
            </w:r>
            <w:r>
              <w:rPr>
                <w:rFonts w:cs="Arial"/>
                <w:sz w:val="20"/>
                <w:szCs w:val="20"/>
                <w:lang w:val="nl-NL"/>
              </w:rPr>
              <w:t>neel van de hulpverleningszones.</w:t>
            </w:r>
          </w:p>
        </w:tc>
      </w:tr>
    </w:tbl>
    <w:p w14:paraId="5FAF8044" w14:textId="77777777" w:rsidR="00C1200D" w:rsidRPr="00FD7EC3" w:rsidRDefault="00C1200D">
      <w:pPr>
        <w:rPr>
          <w:lang w:val="nl-NL"/>
        </w:rPr>
      </w:pPr>
    </w:p>
    <w:p w14:paraId="6AD8A2D1" w14:textId="77777777" w:rsidR="00CC5128" w:rsidRPr="00FD7EC3" w:rsidRDefault="00CC5128">
      <w:pPr>
        <w:rPr>
          <w:lang w:val="nl-NL"/>
        </w:rPr>
      </w:pPr>
    </w:p>
    <w:p w14:paraId="3B7238C7" w14:textId="77777777" w:rsidR="00FD7EC3" w:rsidRPr="00707BFF" w:rsidRDefault="00FD7EC3" w:rsidP="00FD7EC3">
      <w:pPr>
        <w:jc w:val="center"/>
        <w:rPr>
          <w:rFonts w:ascii="Univers" w:eastAsia="Times New Roman" w:hAnsi="Univers"/>
          <w:color w:val="000000"/>
          <w:lang w:val="nl-BE" w:eastAsia="fr-BE"/>
        </w:rPr>
      </w:pPr>
      <w:r>
        <w:rPr>
          <w:rFonts w:ascii="Univers" w:eastAsia="Times New Roman" w:hAnsi="Univers"/>
          <w:color w:val="000000"/>
          <w:lang w:val="nl-BE" w:eastAsia="fr-BE"/>
        </w:rPr>
        <w:t xml:space="preserve">Gezien </w:t>
      </w:r>
      <w:r w:rsidRPr="008126C5">
        <w:rPr>
          <w:rFonts w:ascii="Univers" w:eastAsia="Times New Roman" w:hAnsi="Univers"/>
          <w:color w:val="000000"/>
          <w:lang w:val="nl-BE" w:eastAsia="fr-BE"/>
        </w:rPr>
        <w:t xml:space="preserve">om gevoegd te worden bij </w:t>
      </w:r>
      <w:r>
        <w:rPr>
          <w:rFonts w:ascii="Univers" w:eastAsia="Times New Roman" w:hAnsi="Univers"/>
          <w:color w:val="000000"/>
          <w:lang w:val="nl-BE" w:eastAsia="fr-BE"/>
        </w:rPr>
        <w:t>het</w:t>
      </w:r>
      <w:r w:rsidRPr="008126C5">
        <w:rPr>
          <w:rFonts w:ascii="Univers" w:eastAsia="Times New Roman" w:hAnsi="Univers"/>
          <w:color w:val="000000"/>
          <w:lang w:val="nl-BE" w:eastAsia="fr-BE"/>
        </w:rPr>
        <w:t xml:space="preserve"> besluit van … </w:t>
      </w:r>
      <w:r w:rsidRPr="00AB24E4">
        <w:rPr>
          <w:rFonts w:ascii="Univers" w:eastAsia="Times New Roman" w:hAnsi="Univers"/>
          <w:color w:val="000000"/>
          <w:lang w:val="nl-BE" w:eastAsia="fr-BE"/>
        </w:rPr>
        <w:t>tot vaststelling van de functiebeschrijvingen van het operationeel personeel van de hulpverleningszones</w:t>
      </w:r>
    </w:p>
    <w:p w14:paraId="27F908C8" w14:textId="77777777" w:rsidR="00FD7EC3" w:rsidRPr="00707BFF" w:rsidRDefault="00FD7EC3" w:rsidP="00FD7EC3">
      <w:pPr>
        <w:jc w:val="center"/>
        <w:rPr>
          <w:rFonts w:ascii="Univers" w:eastAsia="Times New Roman" w:hAnsi="Univers"/>
          <w:color w:val="000000"/>
          <w:lang w:val="nl-BE" w:eastAsia="fr-BE"/>
        </w:rPr>
      </w:pPr>
    </w:p>
    <w:p w14:paraId="17D29602" w14:textId="77777777" w:rsidR="00FD7EC3" w:rsidRPr="00707BFF" w:rsidRDefault="00FD7EC3" w:rsidP="00FD7EC3">
      <w:pPr>
        <w:jc w:val="center"/>
        <w:rPr>
          <w:rFonts w:ascii="Univers" w:eastAsia="Times New Roman" w:hAnsi="Univers"/>
          <w:color w:val="000000"/>
          <w:lang w:val="nl-BE" w:eastAsia="fr-BE"/>
        </w:rPr>
      </w:pPr>
    </w:p>
    <w:p w14:paraId="04D18ACB" w14:textId="77777777" w:rsidR="00FD7EC3" w:rsidRPr="00707BFF" w:rsidRDefault="00FD7EC3" w:rsidP="00FD7EC3">
      <w:pPr>
        <w:rPr>
          <w:rFonts w:ascii="Univers" w:eastAsia="Times New Roman" w:hAnsi="Univers"/>
          <w:color w:val="000000"/>
          <w:lang w:val="nl-BE" w:eastAsia="fr-BE"/>
        </w:rPr>
      </w:pPr>
    </w:p>
    <w:p w14:paraId="75C64CD5" w14:textId="77777777" w:rsidR="00FD7EC3" w:rsidRPr="00707BFF" w:rsidRDefault="00FD7EC3" w:rsidP="00FD7EC3">
      <w:pPr>
        <w:jc w:val="center"/>
        <w:rPr>
          <w:rFonts w:ascii="Univers" w:eastAsia="Times New Roman" w:hAnsi="Univers"/>
          <w:color w:val="000000"/>
          <w:lang w:val="nl-BE" w:eastAsia="fr-BE"/>
        </w:rPr>
      </w:pPr>
    </w:p>
    <w:p w14:paraId="537E8555" w14:textId="77777777" w:rsidR="00FD7EC3" w:rsidRPr="00707BFF" w:rsidRDefault="00FD7EC3" w:rsidP="00FD7EC3">
      <w:pPr>
        <w:jc w:val="center"/>
        <w:rPr>
          <w:rFonts w:ascii="Univers" w:eastAsia="Times New Roman" w:hAnsi="Univers"/>
          <w:color w:val="000000"/>
          <w:lang w:val="nl-BE" w:eastAsia="fr-BE"/>
        </w:rPr>
      </w:pPr>
    </w:p>
    <w:p w14:paraId="37CDF4C2" w14:textId="77777777" w:rsidR="00FD7EC3" w:rsidRDefault="00FD7EC3" w:rsidP="00FD7EC3">
      <w:pPr>
        <w:jc w:val="center"/>
        <w:rPr>
          <w:rFonts w:ascii="Univers" w:eastAsia="Times New Roman" w:hAnsi="Univers"/>
          <w:color w:val="000000"/>
          <w:lang w:val="nl-BE" w:eastAsia="fr-BE"/>
        </w:rPr>
      </w:pPr>
    </w:p>
    <w:p w14:paraId="73337903" w14:textId="77777777" w:rsidR="00FD7EC3" w:rsidRDefault="00FD7EC3" w:rsidP="00FD7EC3">
      <w:pPr>
        <w:jc w:val="center"/>
        <w:rPr>
          <w:rFonts w:ascii="Univers" w:eastAsia="Times New Roman" w:hAnsi="Univers"/>
          <w:color w:val="000000"/>
          <w:lang w:val="nl-BE" w:eastAsia="fr-BE"/>
        </w:rPr>
      </w:pPr>
    </w:p>
    <w:p w14:paraId="18B64D52" w14:textId="77777777" w:rsidR="00FD7EC3" w:rsidRPr="00707BFF" w:rsidRDefault="00FD7EC3" w:rsidP="00FD7EC3">
      <w:pPr>
        <w:jc w:val="center"/>
        <w:rPr>
          <w:rFonts w:ascii="Univers" w:eastAsia="Times New Roman" w:hAnsi="Univers"/>
          <w:color w:val="000000"/>
          <w:lang w:val="nl-BE" w:eastAsia="fr-BE"/>
        </w:rPr>
      </w:pPr>
    </w:p>
    <w:p w14:paraId="24C1058D" w14:textId="77777777" w:rsidR="00FD7EC3" w:rsidRPr="008126C5" w:rsidRDefault="00FD7EC3" w:rsidP="00FD7EC3">
      <w:pPr>
        <w:jc w:val="center"/>
        <w:rPr>
          <w:rFonts w:ascii="Univers" w:eastAsia="Times New Roman" w:hAnsi="Univers"/>
          <w:color w:val="000000"/>
          <w:lang w:val="nl-BE" w:eastAsia="fr-BE"/>
        </w:rPr>
      </w:pPr>
      <w:r w:rsidRPr="00707BFF">
        <w:rPr>
          <w:rFonts w:ascii="Univers" w:eastAsia="Times New Roman" w:hAnsi="Univers"/>
          <w:color w:val="000000"/>
          <w:lang w:val="nl-BE" w:eastAsia="fr-BE"/>
        </w:rPr>
        <w:t xml:space="preserve">Jan </w:t>
      </w:r>
      <w:r>
        <w:rPr>
          <w:rFonts w:ascii="Univers" w:eastAsia="Times New Roman" w:hAnsi="Univers"/>
          <w:color w:val="000000"/>
          <w:lang w:val="nl-BE" w:eastAsia="fr-BE"/>
        </w:rPr>
        <w:t>JAMBON</w:t>
      </w:r>
    </w:p>
    <w:p w14:paraId="13EB1E45" w14:textId="77777777" w:rsidR="00CC5128" w:rsidRPr="00FD7EC3" w:rsidRDefault="00CC5128">
      <w:pPr>
        <w:rPr>
          <w:lang w:val="nl-NL"/>
        </w:rPr>
      </w:pPr>
    </w:p>
    <w:p w14:paraId="451A2ABE" w14:textId="77777777" w:rsidR="00EC4FE1" w:rsidRPr="00FD7EC3" w:rsidRDefault="00EC4FE1">
      <w:pPr>
        <w:rPr>
          <w:lang w:val="nl-NL"/>
        </w:rPr>
      </w:pPr>
    </w:p>
    <w:sectPr w:rsidR="00EC4FE1" w:rsidRPr="00FD7EC3" w:rsidSect="001F4078">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69193" w14:textId="77777777" w:rsidR="00ED0E3A" w:rsidRDefault="00ED0E3A" w:rsidP="008F4853">
      <w:r>
        <w:separator/>
      </w:r>
    </w:p>
  </w:endnote>
  <w:endnote w:type="continuationSeparator" w:id="0">
    <w:p w14:paraId="6D849A6C" w14:textId="77777777" w:rsidR="00ED0E3A" w:rsidRDefault="00ED0E3A" w:rsidP="008F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B283" w14:textId="49C00430" w:rsidR="0035708C" w:rsidRPr="00FD7EC3" w:rsidRDefault="0035708C" w:rsidP="008F4853">
    <w:pPr>
      <w:pStyle w:val="Voettekst"/>
      <w:ind w:firstLine="708"/>
      <w:jc w:val="center"/>
      <w:rPr>
        <w:sz w:val="20"/>
        <w:szCs w:val="20"/>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2092C" w14:textId="77777777" w:rsidR="00ED0E3A" w:rsidRDefault="00ED0E3A" w:rsidP="008F4853">
      <w:r>
        <w:separator/>
      </w:r>
    </w:p>
  </w:footnote>
  <w:footnote w:type="continuationSeparator" w:id="0">
    <w:p w14:paraId="2906B3BE" w14:textId="77777777" w:rsidR="00ED0E3A" w:rsidRDefault="00ED0E3A" w:rsidP="008F4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5C5D"/>
    <w:multiLevelType w:val="hybridMultilevel"/>
    <w:tmpl w:val="DC4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10C62"/>
    <w:multiLevelType w:val="hybridMultilevel"/>
    <w:tmpl w:val="987C613A"/>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41A007C"/>
    <w:multiLevelType w:val="hybridMultilevel"/>
    <w:tmpl w:val="9D9CFDBA"/>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6201E5"/>
    <w:multiLevelType w:val="hybridMultilevel"/>
    <w:tmpl w:val="D8EA291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8517E"/>
    <w:multiLevelType w:val="hybridMultilevel"/>
    <w:tmpl w:val="1546A590"/>
    <w:lvl w:ilvl="0" w:tplc="0413000F">
      <w:start w:val="1"/>
      <w:numFmt w:val="decimal"/>
      <w:lvlText w:val="%1."/>
      <w:lvlJc w:val="left"/>
      <w:pPr>
        <w:tabs>
          <w:tab w:val="num" w:pos="720"/>
        </w:tabs>
        <w:ind w:left="720" w:hanging="360"/>
      </w:pPr>
      <w:rPr>
        <w:rFonts w:hint="default"/>
      </w:rPr>
    </w:lvl>
    <w:lvl w:ilvl="1" w:tplc="36166D0C">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CB62C4"/>
    <w:multiLevelType w:val="hybridMultilevel"/>
    <w:tmpl w:val="944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1F2DB5"/>
    <w:multiLevelType w:val="hybridMultilevel"/>
    <w:tmpl w:val="8BEEBDE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1DC6DBE"/>
    <w:multiLevelType w:val="hybridMultilevel"/>
    <w:tmpl w:val="C658C6A6"/>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C97244B"/>
    <w:multiLevelType w:val="hybridMultilevel"/>
    <w:tmpl w:val="0050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D50A63"/>
    <w:multiLevelType w:val="hybridMultilevel"/>
    <w:tmpl w:val="7122A168"/>
    <w:lvl w:ilvl="0" w:tplc="36166D0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2"/>
  </w:num>
  <w:num w:numId="6">
    <w:abstractNumId w:val="8"/>
  </w:num>
  <w:num w:numId="7">
    <w:abstractNumId w:val="6"/>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81"/>
    <w:rsid w:val="000106E2"/>
    <w:rsid w:val="00026778"/>
    <w:rsid w:val="00042A23"/>
    <w:rsid w:val="00052576"/>
    <w:rsid w:val="00123D5E"/>
    <w:rsid w:val="001D40D4"/>
    <w:rsid w:val="001F4078"/>
    <w:rsid w:val="002C69B2"/>
    <w:rsid w:val="003204FF"/>
    <w:rsid w:val="0035708C"/>
    <w:rsid w:val="00377A38"/>
    <w:rsid w:val="00434836"/>
    <w:rsid w:val="00503085"/>
    <w:rsid w:val="005A3477"/>
    <w:rsid w:val="005F16D2"/>
    <w:rsid w:val="006400C9"/>
    <w:rsid w:val="00684F75"/>
    <w:rsid w:val="006A163E"/>
    <w:rsid w:val="007E416B"/>
    <w:rsid w:val="007F2A66"/>
    <w:rsid w:val="00811656"/>
    <w:rsid w:val="008655BE"/>
    <w:rsid w:val="0089263B"/>
    <w:rsid w:val="008B0611"/>
    <w:rsid w:val="008F4853"/>
    <w:rsid w:val="00917175"/>
    <w:rsid w:val="00927DFA"/>
    <w:rsid w:val="00973B7D"/>
    <w:rsid w:val="00981462"/>
    <w:rsid w:val="009A0481"/>
    <w:rsid w:val="00A66F68"/>
    <w:rsid w:val="00B03A08"/>
    <w:rsid w:val="00B311DD"/>
    <w:rsid w:val="00B5048E"/>
    <w:rsid w:val="00B60B11"/>
    <w:rsid w:val="00B65117"/>
    <w:rsid w:val="00B85459"/>
    <w:rsid w:val="00C1200D"/>
    <w:rsid w:val="00C4346D"/>
    <w:rsid w:val="00CC5128"/>
    <w:rsid w:val="00D27580"/>
    <w:rsid w:val="00D93787"/>
    <w:rsid w:val="00DD69DD"/>
    <w:rsid w:val="00E9399D"/>
    <w:rsid w:val="00EC4FE1"/>
    <w:rsid w:val="00ED0E3A"/>
    <w:rsid w:val="00FD7E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79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0481"/>
    <w:pPr>
      <w:ind w:left="720"/>
      <w:contextualSpacing/>
    </w:pPr>
    <w:rPr>
      <w:rFonts w:asciiTheme="minorHAnsi" w:eastAsiaTheme="minorHAnsi" w:hAnsiTheme="minorHAnsi" w:cstheme="minorBidi"/>
      <w:lang w:val="nl-NL" w:eastAsia="en-US"/>
    </w:rPr>
  </w:style>
  <w:style w:type="paragraph" w:styleId="Voetnoottekst">
    <w:name w:val="footnote text"/>
    <w:basedOn w:val="Standaard"/>
    <w:link w:val="VoetnoottekstChar"/>
    <w:uiPriority w:val="99"/>
    <w:unhideWhenUsed/>
    <w:rsid w:val="008F4853"/>
  </w:style>
  <w:style w:type="character" w:customStyle="1" w:styleId="VoetnoottekstChar">
    <w:name w:val="Voetnoottekst Char"/>
    <w:basedOn w:val="Standaardalinea-lettertype"/>
    <w:link w:val="Voetnoottekst"/>
    <w:uiPriority w:val="99"/>
    <w:rsid w:val="008F4853"/>
    <w:rPr>
      <w:rFonts w:cs="Times New Roman"/>
      <w:lang w:val="en-GB"/>
    </w:rPr>
  </w:style>
  <w:style w:type="character" w:styleId="Voetnootmarkering">
    <w:name w:val="footnote reference"/>
    <w:basedOn w:val="Standaardalinea-lettertype"/>
    <w:uiPriority w:val="99"/>
    <w:unhideWhenUsed/>
    <w:rsid w:val="008F4853"/>
    <w:rPr>
      <w:vertAlign w:val="superscript"/>
    </w:rPr>
  </w:style>
  <w:style w:type="paragraph" w:styleId="Koptekst">
    <w:name w:val="header"/>
    <w:basedOn w:val="Standaard"/>
    <w:link w:val="KoptekstChar"/>
    <w:uiPriority w:val="99"/>
    <w:unhideWhenUsed/>
    <w:rsid w:val="008F4853"/>
    <w:pPr>
      <w:tabs>
        <w:tab w:val="center" w:pos="4536"/>
        <w:tab w:val="right" w:pos="9072"/>
      </w:tabs>
    </w:pPr>
  </w:style>
  <w:style w:type="character" w:customStyle="1" w:styleId="KoptekstChar">
    <w:name w:val="Koptekst Char"/>
    <w:basedOn w:val="Standaardalinea-lettertype"/>
    <w:link w:val="Koptekst"/>
    <w:uiPriority w:val="99"/>
    <w:rsid w:val="008F4853"/>
    <w:rPr>
      <w:rFonts w:cs="Times New Roman"/>
      <w:lang w:val="en-GB"/>
    </w:rPr>
  </w:style>
  <w:style w:type="paragraph" w:styleId="Voettekst">
    <w:name w:val="footer"/>
    <w:basedOn w:val="Standaard"/>
    <w:link w:val="VoettekstChar"/>
    <w:uiPriority w:val="99"/>
    <w:unhideWhenUsed/>
    <w:rsid w:val="008F4853"/>
    <w:pPr>
      <w:tabs>
        <w:tab w:val="center" w:pos="4536"/>
        <w:tab w:val="right" w:pos="9072"/>
      </w:tabs>
    </w:pPr>
  </w:style>
  <w:style w:type="character" w:customStyle="1" w:styleId="VoettekstChar">
    <w:name w:val="Voettekst Char"/>
    <w:basedOn w:val="Standaardalinea-lettertype"/>
    <w:link w:val="Voettekst"/>
    <w:uiPriority w:val="99"/>
    <w:rsid w:val="008F4853"/>
    <w:rPr>
      <w:rFonts w:cs="Times New Roman"/>
      <w:lang w:val="en-GB"/>
    </w:rPr>
  </w:style>
  <w:style w:type="paragraph" w:styleId="Ballontekst">
    <w:name w:val="Balloon Text"/>
    <w:basedOn w:val="Standaard"/>
    <w:link w:val="BallontekstChar"/>
    <w:uiPriority w:val="99"/>
    <w:semiHidden/>
    <w:unhideWhenUsed/>
    <w:rsid w:val="007F2A6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7F2A66"/>
    <w:rPr>
      <w:rFonts w:ascii="Lucida Grande" w:hAnsi="Lucida Grande"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0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0481"/>
    <w:pPr>
      <w:ind w:left="720"/>
      <w:contextualSpacing/>
    </w:pPr>
    <w:rPr>
      <w:rFonts w:asciiTheme="minorHAnsi" w:eastAsiaTheme="minorHAnsi" w:hAnsiTheme="minorHAnsi" w:cstheme="minorBidi"/>
      <w:lang w:val="nl-NL" w:eastAsia="en-US"/>
    </w:rPr>
  </w:style>
  <w:style w:type="paragraph" w:styleId="Voetnoottekst">
    <w:name w:val="footnote text"/>
    <w:basedOn w:val="Standaard"/>
    <w:link w:val="VoetnoottekstChar"/>
    <w:uiPriority w:val="99"/>
    <w:unhideWhenUsed/>
    <w:rsid w:val="008F4853"/>
  </w:style>
  <w:style w:type="character" w:customStyle="1" w:styleId="VoetnoottekstChar">
    <w:name w:val="Voetnoottekst Char"/>
    <w:basedOn w:val="Standaardalinea-lettertype"/>
    <w:link w:val="Voetnoottekst"/>
    <w:uiPriority w:val="99"/>
    <w:rsid w:val="008F4853"/>
    <w:rPr>
      <w:rFonts w:cs="Times New Roman"/>
      <w:lang w:val="en-GB"/>
    </w:rPr>
  </w:style>
  <w:style w:type="character" w:styleId="Voetnootmarkering">
    <w:name w:val="footnote reference"/>
    <w:basedOn w:val="Standaardalinea-lettertype"/>
    <w:uiPriority w:val="99"/>
    <w:unhideWhenUsed/>
    <w:rsid w:val="008F4853"/>
    <w:rPr>
      <w:vertAlign w:val="superscript"/>
    </w:rPr>
  </w:style>
  <w:style w:type="paragraph" w:styleId="Koptekst">
    <w:name w:val="header"/>
    <w:basedOn w:val="Standaard"/>
    <w:link w:val="KoptekstChar"/>
    <w:uiPriority w:val="99"/>
    <w:unhideWhenUsed/>
    <w:rsid w:val="008F4853"/>
    <w:pPr>
      <w:tabs>
        <w:tab w:val="center" w:pos="4536"/>
        <w:tab w:val="right" w:pos="9072"/>
      </w:tabs>
    </w:pPr>
  </w:style>
  <w:style w:type="character" w:customStyle="1" w:styleId="KoptekstChar">
    <w:name w:val="Koptekst Char"/>
    <w:basedOn w:val="Standaardalinea-lettertype"/>
    <w:link w:val="Koptekst"/>
    <w:uiPriority w:val="99"/>
    <w:rsid w:val="008F4853"/>
    <w:rPr>
      <w:rFonts w:cs="Times New Roman"/>
      <w:lang w:val="en-GB"/>
    </w:rPr>
  </w:style>
  <w:style w:type="paragraph" w:styleId="Voettekst">
    <w:name w:val="footer"/>
    <w:basedOn w:val="Standaard"/>
    <w:link w:val="VoettekstChar"/>
    <w:uiPriority w:val="99"/>
    <w:unhideWhenUsed/>
    <w:rsid w:val="008F4853"/>
    <w:pPr>
      <w:tabs>
        <w:tab w:val="center" w:pos="4536"/>
        <w:tab w:val="right" w:pos="9072"/>
      </w:tabs>
    </w:pPr>
  </w:style>
  <w:style w:type="character" w:customStyle="1" w:styleId="VoettekstChar">
    <w:name w:val="Voettekst Char"/>
    <w:basedOn w:val="Standaardalinea-lettertype"/>
    <w:link w:val="Voettekst"/>
    <w:uiPriority w:val="99"/>
    <w:rsid w:val="008F4853"/>
    <w:rPr>
      <w:rFonts w:cs="Times New Roman"/>
      <w:lang w:val="en-GB"/>
    </w:rPr>
  </w:style>
  <w:style w:type="paragraph" w:styleId="Ballontekst">
    <w:name w:val="Balloon Text"/>
    <w:basedOn w:val="Standaard"/>
    <w:link w:val="BallontekstChar"/>
    <w:uiPriority w:val="99"/>
    <w:semiHidden/>
    <w:unhideWhenUsed/>
    <w:rsid w:val="007F2A6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7F2A66"/>
    <w:rPr>
      <w:rFonts w:ascii="Lucida Grande" w:hAnsi="Lucida Grande"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28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Brandweer Roeselare</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Vangierdegom</dc:creator>
  <cp:lastModifiedBy>IBZ</cp:lastModifiedBy>
  <cp:revision>2</cp:revision>
  <cp:lastPrinted>2015-03-23T14:26:00Z</cp:lastPrinted>
  <dcterms:created xsi:type="dcterms:W3CDTF">2016-04-19T09:52:00Z</dcterms:created>
  <dcterms:modified xsi:type="dcterms:W3CDTF">2016-04-19T09:52:00Z</dcterms:modified>
</cp:coreProperties>
</file>